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5D5E5" w14:textId="4244370B" w:rsidR="009278F4" w:rsidRDefault="00B93D7D" w:rsidP="00B93D7D">
      <w:pPr>
        <w:jc w:val="center"/>
        <w:rPr>
          <w:b/>
          <w:sz w:val="28"/>
          <w:szCs w:val="28"/>
        </w:rPr>
      </w:pPr>
      <w:r w:rsidRPr="00B93D7D">
        <w:rPr>
          <w:b/>
          <w:sz w:val="28"/>
          <w:szCs w:val="28"/>
        </w:rPr>
        <w:t xml:space="preserve">Metodiskie ietiekumi </w:t>
      </w:r>
      <w:r w:rsidRPr="00B93D7D">
        <w:rPr>
          <w:b/>
          <w:sz w:val="28"/>
          <w:szCs w:val="28"/>
        </w:rPr>
        <w:t>par bērna ievietošanu ilgstošas sociālās aprūpes un sociālās rehabilitācijas institūcijā un iespējamo pārvietošanu</w:t>
      </w:r>
    </w:p>
    <w:p w14:paraId="437B4D7D" w14:textId="77777777" w:rsidR="00B93D7D" w:rsidRDefault="00B93D7D" w:rsidP="00B93D7D">
      <w:pPr>
        <w:jc w:val="both"/>
        <w:rPr>
          <w:b/>
          <w:sz w:val="28"/>
          <w:szCs w:val="28"/>
        </w:rPr>
      </w:pPr>
    </w:p>
    <w:p w14:paraId="6C587D8A" w14:textId="77777777" w:rsidR="00B93D7D" w:rsidRPr="00B93D7D" w:rsidRDefault="00B93D7D" w:rsidP="00B93D7D">
      <w:pPr>
        <w:jc w:val="both"/>
        <w:rPr>
          <w:b/>
          <w:sz w:val="28"/>
          <w:szCs w:val="28"/>
        </w:rPr>
      </w:pPr>
    </w:p>
    <w:p w14:paraId="091B691E" w14:textId="77777777" w:rsidR="009278F4" w:rsidRPr="00E81899" w:rsidRDefault="009278F4" w:rsidP="009278F4">
      <w:pPr>
        <w:ind w:firstLine="720"/>
        <w:jc w:val="both"/>
        <w:rPr>
          <w:sz w:val="28"/>
          <w:szCs w:val="28"/>
        </w:rPr>
      </w:pPr>
      <w:r w:rsidRPr="00E81899">
        <w:rPr>
          <w:sz w:val="28"/>
          <w:szCs w:val="28"/>
        </w:rPr>
        <w:t xml:space="preserve">Lai veiktu katra bērna individuālās situācijas izvērtējumu nolūkā institucionālo aprūpi aizstāt ar ārpusģimenes aprūpi ģimeniskā vidē, Ministru kabineta </w:t>
      </w:r>
      <w:proofErr w:type="gramStart"/>
      <w:r w:rsidR="00683516" w:rsidRPr="00E81899">
        <w:rPr>
          <w:sz w:val="28"/>
          <w:szCs w:val="28"/>
        </w:rPr>
        <w:t>2006.gada</w:t>
      </w:r>
      <w:proofErr w:type="gramEnd"/>
      <w:r w:rsidR="00683516" w:rsidRPr="00E81899">
        <w:rPr>
          <w:sz w:val="28"/>
          <w:szCs w:val="28"/>
        </w:rPr>
        <w:t xml:space="preserve"> 19.decembra noteikumu</w:t>
      </w:r>
      <w:r w:rsidRPr="00E81899">
        <w:rPr>
          <w:sz w:val="28"/>
          <w:szCs w:val="28"/>
        </w:rPr>
        <w:t xml:space="preserve"> Nr.1037 „Bāriņtiesu darbības noteikumi”</w:t>
      </w:r>
      <w:r w:rsidR="00683516" w:rsidRPr="0002150A">
        <w:rPr>
          <w:sz w:val="28"/>
          <w:szCs w:val="28"/>
        </w:rPr>
        <w:t xml:space="preserve"> 81.</w:t>
      </w:r>
      <w:r w:rsidR="00683516" w:rsidRPr="0002150A">
        <w:rPr>
          <w:sz w:val="28"/>
          <w:szCs w:val="28"/>
          <w:vertAlign w:val="superscript"/>
        </w:rPr>
        <w:t>2</w:t>
      </w:r>
      <w:r w:rsidR="009D58F8" w:rsidRPr="0002150A">
        <w:rPr>
          <w:sz w:val="28"/>
          <w:szCs w:val="28"/>
        </w:rPr>
        <w:t xml:space="preserve"> </w:t>
      </w:r>
      <w:r w:rsidR="00683516" w:rsidRPr="00E81899">
        <w:rPr>
          <w:sz w:val="28"/>
          <w:szCs w:val="28"/>
        </w:rPr>
        <w:t>punkts</w:t>
      </w:r>
      <w:r w:rsidRPr="00E81899">
        <w:rPr>
          <w:sz w:val="28"/>
          <w:szCs w:val="28"/>
        </w:rPr>
        <w:t xml:space="preserve"> paredz bāriņtiesai pienākumu pirms lēmuma par bērna ievietošanu ilgstošas sociālās aprūpes un sociālās rehabilitācijas institūcijā sagatavot rakstveida pārskatu par bāriņtiesas iegūto informāciju attiecībā uz iespēju nodrošināt bērnam ārpusģimenes aprūpi pie aizbildņa vai audžuģimenē. </w:t>
      </w:r>
    </w:p>
    <w:p w14:paraId="7B9C5CD7" w14:textId="77777777" w:rsidR="009278F4" w:rsidRPr="00E81899" w:rsidRDefault="009278F4" w:rsidP="009278F4">
      <w:pPr>
        <w:ind w:firstLine="720"/>
        <w:jc w:val="both"/>
        <w:rPr>
          <w:sz w:val="28"/>
          <w:szCs w:val="28"/>
        </w:rPr>
      </w:pPr>
    </w:p>
    <w:p w14:paraId="38A2A61B" w14:textId="77777777" w:rsidR="007F4200" w:rsidRPr="00E81899" w:rsidRDefault="00F9610A" w:rsidP="00F9610A">
      <w:pPr>
        <w:ind w:firstLine="720"/>
        <w:jc w:val="both"/>
        <w:rPr>
          <w:sz w:val="28"/>
          <w:szCs w:val="28"/>
        </w:rPr>
      </w:pPr>
      <w:r w:rsidRPr="00E81899">
        <w:rPr>
          <w:sz w:val="28"/>
          <w:szCs w:val="28"/>
        </w:rPr>
        <w:t>VBTAI</w:t>
      </w:r>
      <w:r w:rsidR="007F4200" w:rsidRPr="00E81899">
        <w:rPr>
          <w:sz w:val="28"/>
          <w:szCs w:val="28"/>
        </w:rPr>
        <w:t xml:space="preserve"> ir izstrādājusi pārskata paraugu, vienlaikus norādot piemēru, kāda satura informācija pēc būtības būtu iekļaujama šajā pārskatā. Pieejams tiešsaistē: </w:t>
      </w:r>
      <w:hyperlink r:id="rId8" w:history="1">
        <w:r w:rsidR="007F4200" w:rsidRPr="00E81899">
          <w:rPr>
            <w:rStyle w:val="Hyperlink"/>
            <w:sz w:val="28"/>
            <w:szCs w:val="28"/>
          </w:rPr>
          <w:t>http://www.bti.gov.lv/lat/barintiesas/metodiskie_ieteikumi_/?doc=3655&amp;page=1</w:t>
        </w:r>
      </w:hyperlink>
    </w:p>
    <w:p w14:paraId="52CB3957" w14:textId="77777777" w:rsidR="007F4200" w:rsidRPr="00E81899" w:rsidRDefault="007F4200" w:rsidP="007F4200">
      <w:pPr>
        <w:ind w:firstLine="720"/>
        <w:jc w:val="both"/>
        <w:rPr>
          <w:sz w:val="28"/>
          <w:szCs w:val="28"/>
        </w:rPr>
      </w:pPr>
    </w:p>
    <w:p w14:paraId="5963AF26" w14:textId="77777777" w:rsidR="009278F4" w:rsidRPr="00E81899" w:rsidRDefault="0036450C" w:rsidP="001509C5">
      <w:pPr>
        <w:ind w:firstLine="720"/>
        <w:jc w:val="both"/>
        <w:rPr>
          <w:sz w:val="28"/>
          <w:szCs w:val="28"/>
        </w:rPr>
      </w:pPr>
      <w:r w:rsidRPr="00E81899">
        <w:rPr>
          <w:sz w:val="28"/>
          <w:szCs w:val="28"/>
        </w:rPr>
        <w:t>VBTAI vēlreiz uzsver, ka, aizpildot pārskatu, vērība</w:t>
      </w:r>
      <w:r w:rsidR="00274A1D" w:rsidRPr="00E81899">
        <w:rPr>
          <w:sz w:val="28"/>
          <w:szCs w:val="28"/>
        </w:rPr>
        <w:t xml:space="preserve"> pirmām </w:t>
      </w:r>
      <w:r w:rsidRPr="00E81899">
        <w:rPr>
          <w:sz w:val="28"/>
          <w:szCs w:val="28"/>
        </w:rPr>
        <w:t>kārtām jāvērš uz bērna individuālo vajadzību izpēti. Tādējādi pārskatā iekļaujama vispusīga informācija par konkrēto b</w:t>
      </w:r>
      <w:bookmarkStart w:id="0" w:name="_GoBack"/>
      <w:bookmarkEnd w:id="0"/>
      <w:r w:rsidRPr="00E81899">
        <w:rPr>
          <w:sz w:val="28"/>
          <w:szCs w:val="28"/>
        </w:rPr>
        <w:t>ērnu, kuram nepieciešams nodrošināt ārpusģimenes aprūpes pakalpojumu.</w:t>
      </w:r>
    </w:p>
    <w:p w14:paraId="604317E6" w14:textId="77777777" w:rsidR="007A1FB8" w:rsidRPr="00E81899" w:rsidRDefault="0039406C" w:rsidP="007A1FB8">
      <w:pPr>
        <w:ind w:firstLine="720"/>
        <w:jc w:val="both"/>
        <w:rPr>
          <w:sz w:val="28"/>
          <w:szCs w:val="28"/>
        </w:rPr>
      </w:pPr>
      <w:r w:rsidRPr="00E81899">
        <w:rPr>
          <w:sz w:val="28"/>
          <w:szCs w:val="28"/>
        </w:rPr>
        <w:t>Š</w:t>
      </w:r>
      <w:r w:rsidR="007A1FB8" w:rsidRPr="00E81899">
        <w:rPr>
          <w:sz w:val="28"/>
          <w:szCs w:val="28"/>
        </w:rPr>
        <w:t>āda pārskata sastādīšana sniegs arī papildus devumu (pienesumu) deinstitucionalizācijas plāna veiksmīgai realizēšanai:</w:t>
      </w:r>
    </w:p>
    <w:p w14:paraId="08F8BD42" w14:textId="77777777" w:rsidR="007A1FB8" w:rsidRPr="00E81899" w:rsidRDefault="007A1FB8" w:rsidP="007A1FB8">
      <w:pPr>
        <w:numPr>
          <w:ilvl w:val="0"/>
          <w:numId w:val="1"/>
        </w:numPr>
        <w:jc w:val="both"/>
        <w:rPr>
          <w:sz w:val="28"/>
          <w:szCs w:val="28"/>
        </w:rPr>
      </w:pPr>
      <w:r w:rsidRPr="00E81899">
        <w:rPr>
          <w:sz w:val="28"/>
          <w:szCs w:val="28"/>
        </w:rPr>
        <w:t>tiks nodrošināta regulāra un objektīva situācijas novērtēšana ģimeniskas vides nodrošināšanā konkrētam bērnam;</w:t>
      </w:r>
    </w:p>
    <w:p w14:paraId="49813344" w14:textId="77777777" w:rsidR="007A1FB8" w:rsidRPr="00E81899" w:rsidRDefault="007A1FB8" w:rsidP="007A1FB8">
      <w:pPr>
        <w:numPr>
          <w:ilvl w:val="0"/>
          <w:numId w:val="1"/>
        </w:numPr>
        <w:jc w:val="both"/>
        <w:rPr>
          <w:sz w:val="28"/>
          <w:szCs w:val="28"/>
        </w:rPr>
      </w:pPr>
      <w:r w:rsidRPr="00E81899">
        <w:rPr>
          <w:sz w:val="28"/>
          <w:szCs w:val="28"/>
        </w:rPr>
        <w:t>tiks veicināta katra bērna tiesību ievērošana – augt ģimeniskā vidē;</w:t>
      </w:r>
    </w:p>
    <w:p w14:paraId="7C988A92" w14:textId="77777777" w:rsidR="007A1FB8" w:rsidRPr="00E81899" w:rsidRDefault="007A1FB8" w:rsidP="007A1FB8">
      <w:pPr>
        <w:numPr>
          <w:ilvl w:val="0"/>
          <w:numId w:val="1"/>
        </w:numPr>
        <w:jc w:val="both"/>
        <w:rPr>
          <w:sz w:val="28"/>
          <w:szCs w:val="28"/>
        </w:rPr>
      </w:pPr>
      <w:r w:rsidRPr="00E81899">
        <w:rPr>
          <w:sz w:val="28"/>
          <w:szCs w:val="28"/>
        </w:rPr>
        <w:t xml:space="preserve">konkrētā laika periodā tiks iegūts patiess priekšstats par ārpusģimenes aprūpes sniedzējiem pašvaldībā – aizbildņiem un audžuģimenēm; </w:t>
      </w:r>
    </w:p>
    <w:p w14:paraId="0308FF33" w14:textId="77777777" w:rsidR="007A1FB8" w:rsidRPr="00E81899" w:rsidRDefault="007A1FB8" w:rsidP="007A1FB8">
      <w:pPr>
        <w:numPr>
          <w:ilvl w:val="0"/>
          <w:numId w:val="1"/>
        </w:numPr>
        <w:jc w:val="both"/>
        <w:rPr>
          <w:sz w:val="28"/>
          <w:szCs w:val="28"/>
        </w:rPr>
      </w:pPr>
      <w:r w:rsidRPr="00E81899">
        <w:rPr>
          <w:sz w:val="28"/>
          <w:szCs w:val="28"/>
        </w:rPr>
        <w:t>iegūtā informācija varēs tikt izmantota turpmāku aizbildņu un audžuģimeņu pakalpojumu attīstības plānošanai pašvaldības teritorijā un valstī.</w:t>
      </w:r>
    </w:p>
    <w:p w14:paraId="0B32FA42" w14:textId="77777777" w:rsidR="007A1FB8" w:rsidRPr="00E81899" w:rsidRDefault="007A1FB8" w:rsidP="001509C5">
      <w:pPr>
        <w:ind w:firstLine="720"/>
        <w:jc w:val="both"/>
        <w:rPr>
          <w:sz w:val="28"/>
          <w:szCs w:val="28"/>
        </w:rPr>
      </w:pPr>
    </w:p>
    <w:p w14:paraId="3DB76855" w14:textId="3A1FDC2B" w:rsidR="009D58F8" w:rsidRPr="00E81899" w:rsidRDefault="00A10CB9" w:rsidP="009D58F8">
      <w:pPr>
        <w:ind w:firstLine="567"/>
        <w:jc w:val="both"/>
        <w:rPr>
          <w:sz w:val="28"/>
          <w:szCs w:val="28"/>
        </w:rPr>
      </w:pPr>
      <w:r w:rsidRPr="00E81899">
        <w:rPr>
          <w:sz w:val="28"/>
          <w:szCs w:val="28"/>
        </w:rPr>
        <w:t xml:space="preserve"> </w:t>
      </w:r>
      <w:r w:rsidR="009D58F8" w:rsidRPr="00E81899">
        <w:rPr>
          <w:sz w:val="28"/>
          <w:szCs w:val="28"/>
        </w:rPr>
        <w:t>Gadījumos, kad risināms jautājums par bērna ārpusģimenes aprūpi un nepieciešams risināt jautājumu par turpmāko bērnam atbilstošāko ārpusģimenes</w:t>
      </w:r>
      <w:r w:rsidR="00390A42" w:rsidRPr="00E81899">
        <w:rPr>
          <w:sz w:val="28"/>
          <w:szCs w:val="28"/>
        </w:rPr>
        <w:t xml:space="preserve"> aprūpes veidu</w:t>
      </w:r>
      <w:r w:rsidR="009D58F8" w:rsidRPr="00E81899">
        <w:rPr>
          <w:sz w:val="28"/>
          <w:szCs w:val="28"/>
        </w:rPr>
        <w:t xml:space="preserve">, bāriņtiesas darbībām, galvenokārt, jābūt vērstām uz bērna individuālo vajadzību izvērtēšanu un tām maksimāli atbilstoša ārpusģimenes aprūpes veida nodrošināšanu. </w:t>
      </w:r>
    </w:p>
    <w:p w14:paraId="402A51BF" w14:textId="18EC608F" w:rsidR="009D58F8" w:rsidRPr="00E81899" w:rsidRDefault="00205FC9" w:rsidP="009D58F8">
      <w:pPr>
        <w:ind w:firstLine="720"/>
        <w:jc w:val="both"/>
        <w:rPr>
          <w:sz w:val="28"/>
          <w:szCs w:val="28"/>
        </w:rPr>
      </w:pPr>
      <w:r w:rsidRPr="00E81899">
        <w:rPr>
          <w:sz w:val="28"/>
          <w:szCs w:val="28"/>
        </w:rPr>
        <w:t>VBTAI uzsver</w:t>
      </w:r>
      <w:r w:rsidR="009D58F8" w:rsidRPr="00E81899">
        <w:rPr>
          <w:sz w:val="28"/>
          <w:szCs w:val="28"/>
        </w:rPr>
        <w:t xml:space="preserve">, ka pakalpojums ilgstošas sociālās aprūpes un sociālās rehabilitācijas institūcijā akceptējams galējas nepieciešamības </w:t>
      </w:r>
      <w:r w:rsidR="009D58F8" w:rsidRPr="00E81899">
        <w:rPr>
          <w:sz w:val="28"/>
          <w:szCs w:val="28"/>
        </w:rPr>
        <w:lastRenderedPageBreak/>
        <w:t xml:space="preserve">gadījumā, kad bāriņtiesas regulāras un plānveidīgas darbības, meklējot bērna vajadzībām atbilstošu audžuģimeni vai aizbildni, nav devušas gaidīto rezultātu. </w:t>
      </w:r>
    </w:p>
    <w:p w14:paraId="328EE4E1" w14:textId="77777777" w:rsidR="009D58F8" w:rsidRPr="00E81899" w:rsidRDefault="009D58F8" w:rsidP="008D199A">
      <w:pPr>
        <w:ind w:firstLine="567"/>
        <w:jc w:val="both"/>
        <w:rPr>
          <w:sz w:val="28"/>
          <w:szCs w:val="28"/>
        </w:rPr>
      </w:pPr>
    </w:p>
    <w:p w14:paraId="2EEF5312" w14:textId="77777777" w:rsidR="00274A1D" w:rsidRPr="00E81899" w:rsidRDefault="00A10CB9" w:rsidP="008D199A">
      <w:pPr>
        <w:ind w:firstLine="567"/>
        <w:jc w:val="both"/>
        <w:rPr>
          <w:sz w:val="28"/>
          <w:szCs w:val="28"/>
        </w:rPr>
      </w:pPr>
      <w:r w:rsidRPr="00E81899">
        <w:rPr>
          <w:sz w:val="28"/>
          <w:szCs w:val="28"/>
        </w:rPr>
        <w:t xml:space="preserve">Tātad bāriņtiesa, pamatojoties uz Bāriņtiesas likuma 35. panta pirmo daļu, lemj par bāreņa vai bez vecāku gādības palikuša bērna ievietošanu ilgstošas sociālās aprūpes un sociālās rehabilitācijas institūcijā. </w:t>
      </w:r>
    </w:p>
    <w:p w14:paraId="2E52B062" w14:textId="41F08E9A" w:rsidR="00AB158D" w:rsidRPr="00E81899" w:rsidRDefault="00A10CB9" w:rsidP="008D199A">
      <w:pPr>
        <w:ind w:firstLine="567"/>
        <w:jc w:val="both"/>
        <w:rPr>
          <w:sz w:val="28"/>
          <w:szCs w:val="28"/>
        </w:rPr>
      </w:pPr>
      <w:r w:rsidRPr="00E81899">
        <w:rPr>
          <w:sz w:val="28"/>
          <w:szCs w:val="28"/>
        </w:rPr>
        <w:t xml:space="preserve">VBTAI paskaidro, ka </w:t>
      </w:r>
      <w:r w:rsidRPr="0002150A">
        <w:rPr>
          <w:sz w:val="28"/>
          <w:szCs w:val="28"/>
          <w:u w:val="single"/>
        </w:rPr>
        <w:t xml:space="preserve">bāriņtiesa pieņem lēmumu par ārpusģimenes </w:t>
      </w:r>
      <w:r w:rsidR="00A5087A" w:rsidRPr="0002150A">
        <w:rPr>
          <w:sz w:val="28"/>
          <w:szCs w:val="28"/>
          <w:u w:val="single"/>
        </w:rPr>
        <w:t xml:space="preserve">aprūpes </w:t>
      </w:r>
      <w:r w:rsidRPr="0002150A">
        <w:rPr>
          <w:sz w:val="28"/>
          <w:szCs w:val="28"/>
          <w:u w:val="single"/>
        </w:rPr>
        <w:t>veidu</w:t>
      </w:r>
      <w:r w:rsidRPr="00E81899">
        <w:rPr>
          <w:sz w:val="28"/>
          <w:szCs w:val="28"/>
        </w:rPr>
        <w:t xml:space="preserve"> (piemēram, ievietošanu ilgstošas sociālās aprūpes un sociālās rehabilitācijas institūcijā</w:t>
      </w:r>
      <w:r w:rsidR="00E81899">
        <w:rPr>
          <w:sz w:val="28"/>
          <w:szCs w:val="28"/>
        </w:rPr>
        <w:t xml:space="preserve">) </w:t>
      </w:r>
      <w:r w:rsidRPr="00E81899">
        <w:rPr>
          <w:sz w:val="28"/>
          <w:szCs w:val="28"/>
        </w:rPr>
        <w:t xml:space="preserve">un minēto lēmumu </w:t>
      </w:r>
      <w:r w:rsidRPr="00B71EDE">
        <w:rPr>
          <w:sz w:val="28"/>
          <w:szCs w:val="28"/>
          <w:u w:val="single"/>
        </w:rPr>
        <w:t xml:space="preserve">kopā ar </w:t>
      </w:r>
      <w:r w:rsidR="000D2D4A" w:rsidRPr="00B71EDE">
        <w:rPr>
          <w:sz w:val="28"/>
          <w:szCs w:val="28"/>
          <w:u w:val="single"/>
        </w:rPr>
        <w:t xml:space="preserve">sagatavoto rakstveida pārskatu </w:t>
      </w:r>
      <w:r w:rsidR="000D2D4A" w:rsidRPr="00E81899">
        <w:rPr>
          <w:sz w:val="28"/>
          <w:szCs w:val="28"/>
        </w:rPr>
        <w:t xml:space="preserve">par bāriņtiesas iegūto informāciju attiecībā uz iespēju nodrošināt bērnam ārpusģimenes aprūpi pie aizbildņa vai audžuģimenē </w:t>
      </w:r>
      <w:r w:rsidR="000D2D4A" w:rsidRPr="00B71EDE">
        <w:rPr>
          <w:sz w:val="28"/>
          <w:szCs w:val="28"/>
          <w:u w:val="single"/>
        </w:rPr>
        <w:t>nodod pašvaldības sociālajam dienestam darbam</w:t>
      </w:r>
      <w:r w:rsidR="000D2D4A" w:rsidRPr="00E81899">
        <w:rPr>
          <w:sz w:val="28"/>
          <w:szCs w:val="28"/>
        </w:rPr>
        <w:t xml:space="preserve">. </w:t>
      </w:r>
    </w:p>
    <w:p w14:paraId="35456716" w14:textId="7581C9B3" w:rsidR="00AB158D" w:rsidRPr="00E81899" w:rsidRDefault="000D2D4A" w:rsidP="00AB158D">
      <w:pPr>
        <w:ind w:firstLine="567"/>
        <w:jc w:val="both"/>
        <w:rPr>
          <w:sz w:val="28"/>
          <w:szCs w:val="28"/>
        </w:rPr>
      </w:pPr>
      <w:r w:rsidRPr="00E81899">
        <w:rPr>
          <w:sz w:val="28"/>
          <w:szCs w:val="28"/>
        </w:rPr>
        <w:t xml:space="preserve">Savukārt </w:t>
      </w:r>
      <w:r w:rsidRPr="0002150A">
        <w:rPr>
          <w:sz w:val="28"/>
          <w:szCs w:val="28"/>
          <w:u w:val="single"/>
        </w:rPr>
        <w:t>sociālais dienests</w:t>
      </w:r>
      <w:r w:rsidRPr="00E81899">
        <w:rPr>
          <w:sz w:val="28"/>
          <w:szCs w:val="28"/>
        </w:rPr>
        <w:t>, pamatojoties uz bāriņtiesas pieņemto lēmumu un iesniegto bāriņtiesas pārskatu</w:t>
      </w:r>
      <w:r w:rsidR="00B35FE5" w:rsidRPr="00E81899">
        <w:rPr>
          <w:sz w:val="28"/>
          <w:szCs w:val="28"/>
        </w:rPr>
        <w:t>,</w:t>
      </w:r>
      <w:r w:rsidRPr="00E81899">
        <w:rPr>
          <w:sz w:val="28"/>
          <w:szCs w:val="28"/>
        </w:rPr>
        <w:t xml:space="preserve"> </w:t>
      </w:r>
      <w:r w:rsidRPr="0002150A">
        <w:rPr>
          <w:sz w:val="28"/>
          <w:szCs w:val="28"/>
          <w:u w:val="single"/>
        </w:rPr>
        <w:t>piemeklē bērnam vislabāko institucionālo aprūpi un s</w:t>
      </w:r>
      <w:r w:rsidR="00AB158D" w:rsidRPr="0002150A">
        <w:rPr>
          <w:sz w:val="28"/>
          <w:szCs w:val="28"/>
          <w:u w:val="single"/>
        </w:rPr>
        <w:t>lēdz ar konkrēto iestādi līgumu</w:t>
      </w:r>
      <w:r w:rsidR="00AB158D" w:rsidRPr="00E81899">
        <w:rPr>
          <w:sz w:val="28"/>
          <w:szCs w:val="28"/>
        </w:rPr>
        <w:t>.</w:t>
      </w:r>
      <w:r w:rsidR="00920DAD" w:rsidRPr="00E81899">
        <w:rPr>
          <w:sz w:val="28"/>
          <w:szCs w:val="28"/>
        </w:rPr>
        <w:t xml:space="preserve"> Pēc līguma noslēgšanas sociālais dienests rakstveidā informē bāriņtiesu, kā arī aktuālo informāciju ievada NPAIS sistēmā.</w:t>
      </w:r>
    </w:p>
    <w:p w14:paraId="42907568" w14:textId="5D6326B2" w:rsidR="00274A1D" w:rsidRPr="00E81899" w:rsidRDefault="00274A1D" w:rsidP="00AB158D">
      <w:pPr>
        <w:ind w:firstLine="567"/>
        <w:jc w:val="both"/>
        <w:rPr>
          <w:sz w:val="28"/>
          <w:szCs w:val="28"/>
        </w:rPr>
      </w:pPr>
      <w:r w:rsidRPr="00E81899">
        <w:rPr>
          <w:sz w:val="28"/>
          <w:szCs w:val="28"/>
        </w:rPr>
        <w:t xml:space="preserve">No minētā izriet, ka bāriņtiesa savos lēmumos neietver konkrētu ilgstošas sociālās aprūpes un sociālās rehabilitācijas institūcijas nosaukumu, jo </w:t>
      </w:r>
      <w:r w:rsidR="009C1162" w:rsidRPr="00E81899">
        <w:rPr>
          <w:sz w:val="28"/>
          <w:szCs w:val="28"/>
        </w:rPr>
        <w:t>atbilstošas institūcijas piemeklēšana un līguma slēgšana ir sociālā dienesta komp</w:t>
      </w:r>
      <w:r w:rsidR="004465E6" w:rsidRPr="00E81899">
        <w:rPr>
          <w:sz w:val="28"/>
          <w:szCs w:val="28"/>
        </w:rPr>
        <w:t>eten</w:t>
      </w:r>
      <w:r w:rsidR="009C1162" w:rsidRPr="00E81899">
        <w:rPr>
          <w:sz w:val="28"/>
          <w:szCs w:val="28"/>
        </w:rPr>
        <w:t>cē.</w:t>
      </w:r>
    </w:p>
    <w:p w14:paraId="3AF4FC62" w14:textId="6E5EB36A" w:rsidR="009011AA" w:rsidRPr="00E81899" w:rsidRDefault="009D7B73" w:rsidP="00AB158D">
      <w:pPr>
        <w:ind w:firstLine="567"/>
        <w:jc w:val="both"/>
        <w:rPr>
          <w:sz w:val="28"/>
          <w:szCs w:val="28"/>
        </w:rPr>
      </w:pPr>
      <w:r w:rsidRPr="00E81899">
        <w:rPr>
          <w:sz w:val="28"/>
          <w:szCs w:val="28"/>
        </w:rPr>
        <w:t>Minētās darbības un starpinstitucionālā sadarbībā konkrēt</w:t>
      </w:r>
      <w:r w:rsidR="00A5087A" w:rsidRPr="00E81899">
        <w:rPr>
          <w:sz w:val="28"/>
          <w:szCs w:val="28"/>
        </w:rPr>
        <w:t>a</w:t>
      </w:r>
      <w:r w:rsidRPr="00E81899">
        <w:rPr>
          <w:sz w:val="28"/>
          <w:szCs w:val="28"/>
        </w:rPr>
        <w:t xml:space="preserve"> bērn</w:t>
      </w:r>
      <w:r w:rsidR="00A5087A" w:rsidRPr="00E81899">
        <w:rPr>
          <w:sz w:val="28"/>
          <w:szCs w:val="28"/>
        </w:rPr>
        <w:t>a</w:t>
      </w:r>
      <w:r w:rsidRPr="00E81899">
        <w:rPr>
          <w:sz w:val="28"/>
          <w:szCs w:val="28"/>
        </w:rPr>
        <w:t xml:space="preserve"> vislabāko interešu nodrošināšanā ir attiecināma arī </w:t>
      </w:r>
      <w:r w:rsidR="00B34D4F" w:rsidRPr="00E81899">
        <w:rPr>
          <w:sz w:val="28"/>
          <w:szCs w:val="28"/>
        </w:rPr>
        <w:t> </w:t>
      </w:r>
      <w:r w:rsidRPr="00E81899">
        <w:rPr>
          <w:sz w:val="28"/>
          <w:szCs w:val="28"/>
        </w:rPr>
        <w:t>gadījumos, kas paredzēti Bāriņtiesu likuma 37. pantā.</w:t>
      </w:r>
      <w:r w:rsidRPr="00E81899">
        <w:rPr>
          <w:sz w:val="28"/>
          <w:szCs w:val="28"/>
          <w:vertAlign w:val="superscript"/>
        </w:rPr>
        <w:footnoteReference w:id="1"/>
      </w:r>
      <w:r w:rsidR="00B34D4F" w:rsidRPr="00E81899">
        <w:rPr>
          <w:sz w:val="28"/>
          <w:szCs w:val="28"/>
          <w:vertAlign w:val="superscript"/>
        </w:rPr>
        <w:t xml:space="preserve"> </w:t>
      </w:r>
    </w:p>
    <w:p w14:paraId="63832121" w14:textId="77777777" w:rsidR="009011AA" w:rsidRPr="00E81899" w:rsidRDefault="00783660" w:rsidP="009011AA">
      <w:pPr>
        <w:ind w:firstLine="720"/>
        <w:jc w:val="both"/>
        <w:rPr>
          <w:sz w:val="28"/>
          <w:szCs w:val="28"/>
        </w:rPr>
      </w:pPr>
      <w:r w:rsidRPr="00E81899">
        <w:rPr>
          <w:sz w:val="28"/>
          <w:szCs w:val="28"/>
        </w:rPr>
        <w:t xml:space="preserve">Atgriežoties pie Bāriņtiesu likuma 35. pantā minētiem gadījumiem un bāriņtiesas pieņemtajiem lēmumiem, VBTAI paskaidro, </w:t>
      </w:r>
      <w:r w:rsidR="00077457" w:rsidRPr="00E81899">
        <w:rPr>
          <w:sz w:val="28"/>
          <w:szCs w:val="28"/>
        </w:rPr>
        <w:t xml:space="preserve">ka </w:t>
      </w:r>
      <w:r w:rsidR="009011AA" w:rsidRPr="00E81899">
        <w:rPr>
          <w:sz w:val="28"/>
          <w:szCs w:val="28"/>
        </w:rPr>
        <w:t xml:space="preserve">laikā, kamēr bārenis vai bez vecāku gādības palikušais bērns atrodas ilgstošas sociālās aprūpes un sociālās rehabilitācijas institūcijā, pašvaldības </w:t>
      </w:r>
      <w:r w:rsidR="009011AA" w:rsidRPr="00E81899">
        <w:rPr>
          <w:sz w:val="28"/>
          <w:szCs w:val="28"/>
          <w:u w:val="single"/>
        </w:rPr>
        <w:t>sociālais dienests</w:t>
      </w:r>
      <w:r w:rsidR="009011AA" w:rsidRPr="00E81899">
        <w:rPr>
          <w:sz w:val="28"/>
          <w:szCs w:val="28"/>
        </w:rPr>
        <w:t xml:space="preserve"> ne retāk kā reizi trīs mēnešos, ja bērns ir vecumā līdz trīs gadiem un ne retāk kā reizi sešos mēnešos, ja bērns ir vecumā no trīs līdz 18 gadiem, sniedz informāciju ilgstošas sociālās aprūpes un sociālās rehabilitācijas institūcijai un bāriņtiesai par veikto sociālo darbu, lai sekmētu bērna atgriešanos ģimenē.</w:t>
      </w:r>
    </w:p>
    <w:p w14:paraId="389ACD8C" w14:textId="77777777" w:rsidR="009011AA" w:rsidRPr="00E81899" w:rsidRDefault="009011AA" w:rsidP="009011AA">
      <w:pPr>
        <w:ind w:firstLine="720"/>
        <w:jc w:val="both"/>
        <w:rPr>
          <w:sz w:val="28"/>
          <w:szCs w:val="28"/>
        </w:rPr>
      </w:pPr>
      <w:r w:rsidRPr="00E81899">
        <w:rPr>
          <w:sz w:val="28"/>
          <w:szCs w:val="28"/>
        </w:rPr>
        <w:t xml:space="preserve">Savukārt, </w:t>
      </w:r>
      <w:r w:rsidRPr="00E81899">
        <w:rPr>
          <w:sz w:val="28"/>
          <w:szCs w:val="28"/>
          <w:u w:val="single"/>
        </w:rPr>
        <w:t>ilgstošas sociālās aprūpes un sociālās rehabilitācijas institūcija</w:t>
      </w:r>
      <w:r w:rsidRPr="00E81899">
        <w:rPr>
          <w:sz w:val="28"/>
          <w:szCs w:val="28"/>
        </w:rPr>
        <w:t xml:space="preserve"> ne retāk kā reizi trīs mēnešos par bērnu vecumā līdz trīs gadiem un ne retāk kā reizi sešos mēnešos par bērnu vecumā no trīs līdz 18 gadiem informē pašvaldības sociālo dienestu un bāriņtiesu par vecāku, brāļu, māsu, vecvecāku, kā arī citu personu, ar kurām bērns ilgu laiku ir dzīvojis nedalītā saimniecībā, saskarsmi ar bērnu un sadarbību ar ilgstošas sociālās aprūpes </w:t>
      </w:r>
      <w:r w:rsidRPr="00E81899">
        <w:rPr>
          <w:sz w:val="28"/>
          <w:szCs w:val="28"/>
        </w:rPr>
        <w:lastRenderedPageBreak/>
        <w:t>un sociālās rehabilitācijas institūciju un bērna fizisko un psihosociālo attīstību.</w:t>
      </w:r>
    </w:p>
    <w:p w14:paraId="25CC568B" w14:textId="258A79ED" w:rsidR="00E44AD8" w:rsidRPr="00E81899" w:rsidRDefault="00B852E4" w:rsidP="009011AA">
      <w:pPr>
        <w:ind w:firstLine="720"/>
        <w:jc w:val="both"/>
        <w:rPr>
          <w:sz w:val="28"/>
          <w:szCs w:val="28"/>
        </w:rPr>
      </w:pPr>
      <w:r w:rsidRPr="00E81899">
        <w:rPr>
          <w:sz w:val="28"/>
          <w:szCs w:val="28"/>
        </w:rPr>
        <w:t xml:space="preserve">Apkopojot saņemto informāciju un </w:t>
      </w:r>
      <w:r w:rsidR="00E44AD8" w:rsidRPr="00E81899">
        <w:rPr>
          <w:sz w:val="28"/>
          <w:szCs w:val="28"/>
        </w:rPr>
        <w:t xml:space="preserve">pamatojoties uz </w:t>
      </w:r>
      <w:r w:rsidR="00AD11C5" w:rsidRPr="00E81899">
        <w:rPr>
          <w:sz w:val="28"/>
          <w:szCs w:val="28"/>
        </w:rPr>
        <w:t xml:space="preserve">Ministru kabineta </w:t>
      </w:r>
      <w:proofErr w:type="gramStart"/>
      <w:r w:rsidR="00AD11C5" w:rsidRPr="00E81899">
        <w:rPr>
          <w:sz w:val="28"/>
          <w:szCs w:val="28"/>
        </w:rPr>
        <w:t>2006.gada</w:t>
      </w:r>
      <w:proofErr w:type="gramEnd"/>
      <w:r w:rsidR="00AD11C5" w:rsidRPr="00E81899">
        <w:rPr>
          <w:sz w:val="28"/>
          <w:szCs w:val="28"/>
        </w:rPr>
        <w:t xml:space="preserve"> 19.decembra noteikumu Nr.1037 „Bāriņtiesu darbības noteikumi” </w:t>
      </w:r>
      <w:r w:rsidR="00AD11C5" w:rsidRPr="00A909A7">
        <w:rPr>
          <w:sz w:val="28"/>
          <w:szCs w:val="28"/>
        </w:rPr>
        <w:t>81.</w:t>
      </w:r>
      <w:r w:rsidR="00AD11C5" w:rsidRPr="00A909A7">
        <w:rPr>
          <w:sz w:val="28"/>
          <w:szCs w:val="28"/>
          <w:vertAlign w:val="superscript"/>
        </w:rPr>
        <w:t>3</w:t>
      </w:r>
      <w:r w:rsidR="00AD11C5" w:rsidRPr="00A909A7">
        <w:rPr>
          <w:sz w:val="28"/>
          <w:szCs w:val="28"/>
        </w:rPr>
        <w:t xml:space="preserve"> un 81.</w:t>
      </w:r>
      <w:r w:rsidR="00AD11C5" w:rsidRPr="00A909A7">
        <w:rPr>
          <w:sz w:val="28"/>
          <w:szCs w:val="28"/>
          <w:vertAlign w:val="superscript"/>
        </w:rPr>
        <w:t>4</w:t>
      </w:r>
      <w:r w:rsidR="00AD11C5" w:rsidRPr="00A909A7">
        <w:rPr>
          <w:sz w:val="28"/>
          <w:szCs w:val="28"/>
        </w:rPr>
        <w:t xml:space="preserve"> </w:t>
      </w:r>
      <w:r w:rsidR="00AD11C5" w:rsidRPr="00E81899">
        <w:rPr>
          <w:sz w:val="28"/>
          <w:szCs w:val="28"/>
        </w:rPr>
        <w:t>punktu</w:t>
      </w:r>
      <w:r w:rsidRPr="00E81899">
        <w:rPr>
          <w:sz w:val="28"/>
          <w:szCs w:val="28"/>
        </w:rPr>
        <w:t xml:space="preserve">, </w:t>
      </w:r>
      <w:r w:rsidRPr="00E81899">
        <w:rPr>
          <w:sz w:val="28"/>
          <w:szCs w:val="28"/>
          <w:u w:val="single"/>
        </w:rPr>
        <w:t>bāriņtiesa</w:t>
      </w:r>
      <w:r w:rsidR="00AD11C5" w:rsidRPr="00E81899">
        <w:rPr>
          <w:sz w:val="28"/>
          <w:szCs w:val="28"/>
        </w:rPr>
        <w:t xml:space="preserve"> aktualizē informāciju par iespēju bērnam augt ģimeniskā vidē – pie aizbildņa vai audžuģimenē.</w:t>
      </w:r>
    </w:p>
    <w:p w14:paraId="2B20CE71" w14:textId="614FF87E" w:rsidR="00A356D3" w:rsidRPr="00E81899" w:rsidRDefault="0077046B" w:rsidP="00A356D3">
      <w:pPr>
        <w:ind w:firstLine="720"/>
        <w:jc w:val="both"/>
        <w:rPr>
          <w:sz w:val="28"/>
          <w:szCs w:val="28"/>
        </w:rPr>
      </w:pPr>
      <w:r w:rsidRPr="00E81899">
        <w:rPr>
          <w:sz w:val="28"/>
          <w:szCs w:val="28"/>
        </w:rPr>
        <w:t>VBTAI akcentē, ka bērnu tiesību un interešu nodrošināšana ir iespējama vienīgi starpinstitucionālās sadarbības ietvaros, īpaši</w:t>
      </w:r>
      <w:r w:rsidR="003F39C2" w:rsidRPr="00E81899">
        <w:rPr>
          <w:sz w:val="28"/>
          <w:szCs w:val="28"/>
        </w:rPr>
        <w:t xml:space="preserve"> tas attiecināms</w:t>
      </w:r>
      <w:r w:rsidR="00072AB0" w:rsidRPr="00E81899">
        <w:rPr>
          <w:sz w:val="28"/>
          <w:szCs w:val="28"/>
        </w:rPr>
        <w:t xml:space="preserve"> uz sadarbību</w:t>
      </w:r>
      <w:r w:rsidR="003F39C2" w:rsidRPr="00E81899">
        <w:rPr>
          <w:sz w:val="28"/>
          <w:szCs w:val="28"/>
        </w:rPr>
        <w:t xml:space="preserve"> </w:t>
      </w:r>
      <w:r w:rsidRPr="00E81899">
        <w:rPr>
          <w:sz w:val="28"/>
          <w:szCs w:val="28"/>
        </w:rPr>
        <w:t>starp bāriņtiesu un pašvaldības sociālo dienestu</w:t>
      </w:r>
      <w:r w:rsidR="00A5087A" w:rsidRPr="00E81899">
        <w:rPr>
          <w:sz w:val="28"/>
          <w:szCs w:val="28"/>
        </w:rPr>
        <w:t>.</w:t>
      </w:r>
      <w:r w:rsidR="00386E4C" w:rsidRPr="00E81899">
        <w:rPr>
          <w:sz w:val="28"/>
          <w:szCs w:val="28"/>
        </w:rPr>
        <w:t xml:space="preserve"> L</w:t>
      </w:r>
      <w:r w:rsidR="00A356D3" w:rsidRPr="00E81899">
        <w:rPr>
          <w:sz w:val="28"/>
          <w:szCs w:val="28"/>
        </w:rPr>
        <w:t>īdz ar to, gadījumos, kad ir nepieciešama bērna pārvietošana no vienas sociālās aprūpes un sociālās rehabilitācijas institūcijas un citu, bāriņtiesa</w:t>
      </w:r>
      <w:r w:rsidR="00386E4C" w:rsidRPr="00E81899">
        <w:rPr>
          <w:sz w:val="28"/>
          <w:szCs w:val="28"/>
        </w:rPr>
        <w:t>i</w:t>
      </w:r>
      <w:r w:rsidR="00A356D3" w:rsidRPr="00E81899">
        <w:rPr>
          <w:sz w:val="28"/>
          <w:szCs w:val="28"/>
        </w:rPr>
        <w:t xml:space="preserve"> ir jābūt informēta</w:t>
      </w:r>
      <w:r w:rsidR="00386E4C" w:rsidRPr="00E81899">
        <w:rPr>
          <w:sz w:val="28"/>
          <w:szCs w:val="28"/>
        </w:rPr>
        <w:t>i</w:t>
      </w:r>
      <w:r w:rsidR="00A356D3" w:rsidRPr="00E81899">
        <w:rPr>
          <w:sz w:val="28"/>
          <w:szCs w:val="28"/>
        </w:rPr>
        <w:t xml:space="preserve"> par </w:t>
      </w:r>
      <w:r w:rsidR="00386E4C" w:rsidRPr="00E81899">
        <w:rPr>
          <w:sz w:val="28"/>
          <w:szCs w:val="28"/>
        </w:rPr>
        <w:t>konkrēto situāciju</w:t>
      </w:r>
      <w:r w:rsidR="00A356D3" w:rsidRPr="00E81899">
        <w:rPr>
          <w:sz w:val="28"/>
          <w:szCs w:val="28"/>
        </w:rPr>
        <w:t>, tom</w:t>
      </w:r>
      <w:r w:rsidR="003F39C2" w:rsidRPr="00E81899">
        <w:rPr>
          <w:sz w:val="28"/>
          <w:szCs w:val="28"/>
        </w:rPr>
        <w:t xml:space="preserve">ēr </w:t>
      </w:r>
      <w:r w:rsidR="003F39C2" w:rsidRPr="00E81899">
        <w:rPr>
          <w:b/>
          <w:i/>
          <w:sz w:val="28"/>
          <w:szCs w:val="28"/>
          <w:u w:val="single"/>
        </w:rPr>
        <w:t>bāriņtiesa atsevišķu lēmumu ne</w:t>
      </w:r>
      <w:r w:rsidR="00A356D3" w:rsidRPr="00E81899">
        <w:rPr>
          <w:b/>
          <w:i/>
          <w:sz w:val="28"/>
          <w:szCs w:val="28"/>
          <w:u w:val="single"/>
        </w:rPr>
        <w:t>pieņem</w:t>
      </w:r>
      <w:r w:rsidR="00A356D3" w:rsidRPr="00E81899">
        <w:rPr>
          <w:sz w:val="28"/>
          <w:szCs w:val="28"/>
        </w:rPr>
        <w:t>.</w:t>
      </w:r>
    </w:p>
    <w:p w14:paraId="249C8484" w14:textId="4215E43E" w:rsidR="00162908" w:rsidRPr="00E81899" w:rsidRDefault="00A356D3" w:rsidP="005929E3">
      <w:pPr>
        <w:ind w:firstLine="720"/>
        <w:jc w:val="both"/>
        <w:rPr>
          <w:sz w:val="28"/>
          <w:szCs w:val="28"/>
        </w:rPr>
      </w:pPr>
      <w:r w:rsidRPr="00E81899">
        <w:rPr>
          <w:sz w:val="28"/>
          <w:szCs w:val="28"/>
        </w:rPr>
        <w:t>Tomēr</w:t>
      </w:r>
      <w:r w:rsidR="00AB77E0" w:rsidRPr="00E81899">
        <w:rPr>
          <w:sz w:val="28"/>
          <w:szCs w:val="28"/>
        </w:rPr>
        <w:t xml:space="preserve"> pirms</w:t>
      </w:r>
      <w:r w:rsidRPr="00E81899">
        <w:rPr>
          <w:sz w:val="28"/>
          <w:szCs w:val="28"/>
        </w:rPr>
        <w:t xml:space="preserve"> bērna pārvietošanas, VBTAI vērš uzmanību uz </w:t>
      </w:r>
      <w:r w:rsidR="00162908" w:rsidRPr="00E81899">
        <w:rPr>
          <w:sz w:val="28"/>
          <w:szCs w:val="28"/>
        </w:rPr>
        <w:t>Ministru kabineta 2017. gada 12. septembra noteikumus Nr. 545 “Noteikumi par institūciju sadarbību bērnu tiesību aizsardzībā”</w:t>
      </w:r>
      <w:r w:rsidRPr="00E81899">
        <w:rPr>
          <w:sz w:val="28"/>
          <w:szCs w:val="28"/>
        </w:rPr>
        <w:t xml:space="preserve"> noteikto sadarbības organizēšanu un kārtību</w:t>
      </w:r>
      <w:r w:rsidR="00845793" w:rsidRPr="00E81899">
        <w:rPr>
          <w:sz w:val="28"/>
          <w:szCs w:val="28"/>
        </w:rPr>
        <w:t>, kura pamatā ir kopīga redzējuma iegūšana un vienota</w:t>
      </w:r>
      <w:r w:rsidR="00A5087A" w:rsidRPr="00E81899">
        <w:rPr>
          <w:sz w:val="28"/>
          <w:szCs w:val="28"/>
        </w:rPr>
        <w:t>s</w:t>
      </w:r>
      <w:r w:rsidR="00845793" w:rsidRPr="00E81899">
        <w:rPr>
          <w:sz w:val="28"/>
          <w:szCs w:val="28"/>
        </w:rPr>
        <w:t xml:space="preserve"> pieejas izmantošana visās iesaistīt</w:t>
      </w:r>
      <w:r w:rsidR="00A5087A" w:rsidRPr="00E81899">
        <w:rPr>
          <w:sz w:val="28"/>
          <w:szCs w:val="28"/>
        </w:rPr>
        <w:t>ajās</w:t>
      </w:r>
      <w:r w:rsidR="00845793" w:rsidRPr="00E81899">
        <w:rPr>
          <w:sz w:val="28"/>
          <w:szCs w:val="28"/>
        </w:rPr>
        <w:t xml:space="preserve"> institūcijās, tādējādi veicinot bērnam drošas un stabilas vides nodrošināšanu, mazinot nepieciešamību bērna “</w:t>
      </w:r>
      <w:r w:rsidR="00845793" w:rsidRPr="00E81899">
        <w:rPr>
          <w:i/>
          <w:sz w:val="28"/>
          <w:szCs w:val="28"/>
        </w:rPr>
        <w:t>institucionālai staigāšanai</w:t>
      </w:r>
      <w:r w:rsidR="00845793" w:rsidRPr="00E81899">
        <w:rPr>
          <w:sz w:val="28"/>
          <w:szCs w:val="28"/>
        </w:rPr>
        <w:t>”</w:t>
      </w:r>
      <w:r w:rsidR="00845793" w:rsidRPr="00E81899">
        <w:rPr>
          <w:rStyle w:val="FootnoteReference"/>
          <w:sz w:val="28"/>
          <w:szCs w:val="28"/>
        </w:rPr>
        <w:footnoteReference w:id="2"/>
      </w:r>
      <w:r w:rsidR="00AB77E0" w:rsidRPr="00E81899">
        <w:rPr>
          <w:sz w:val="28"/>
          <w:szCs w:val="28"/>
        </w:rPr>
        <w:t>.</w:t>
      </w:r>
    </w:p>
    <w:p w14:paraId="23949006" w14:textId="77777777" w:rsidR="00083D74" w:rsidRPr="00E81899" w:rsidRDefault="001737DA" w:rsidP="009011AA">
      <w:pPr>
        <w:ind w:firstLine="720"/>
        <w:jc w:val="both"/>
        <w:rPr>
          <w:sz w:val="28"/>
          <w:szCs w:val="28"/>
        </w:rPr>
      </w:pPr>
      <w:r w:rsidRPr="00E81899">
        <w:rPr>
          <w:sz w:val="28"/>
          <w:szCs w:val="28"/>
        </w:rPr>
        <w:t xml:space="preserve">Secīgi bāriņtiesa pieņem lēmumu </w:t>
      </w:r>
      <w:r w:rsidR="00162908" w:rsidRPr="00E81899">
        <w:rPr>
          <w:sz w:val="28"/>
          <w:szCs w:val="28"/>
        </w:rPr>
        <w:t xml:space="preserve">par bāreņa vai bez vecāku gādības palikuša bērna aprūpes izbeigšanu ilgstošas sociālās aprūpes un sociālās rehabilitācijas institūcijā, ja: </w:t>
      </w:r>
    </w:p>
    <w:p w14:paraId="15660861" w14:textId="77777777" w:rsidR="00083D74" w:rsidRPr="00E81899" w:rsidRDefault="00162908" w:rsidP="00083D74">
      <w:pPr>
        <w:pStyle w:val="ListParagraph"/>
        <w:numPr>
          <w:ilvl w:val="0"/>
          <w:numId w:val="3"/>
        </w:numPr>
        <w:jc w:val="both"/>
        <w:rPr>
          <w:sz w:val="28"/>
          <w:szCs w:val="28"/>
        </w:rPr>
      </w:pPr>
      <w:r w:rsidRPr="00E81899">
        <w:rPr>
          <w:sz w:val="28"/>
          <w:szCs w:val="28"/>
        </w:rPr>
        <w:t xml:space="preserve">bērna vecākiem ir atjaunotas aizgādības tiesības; </w:t>
      </w:r>
    </w:p>
    <w:p w14:paraId="065C2EAF" w14:textId="77777777" w:rsidR="00083D74" w:rsidRPr="00E81899" w:rsidRDefault="00083D74" w:rsidP="00083D74">
      <w:pPr>
        <w:pStyle w:val="ListParagraph"/>
        <w:numPr>
          <w:ilvl w:val="0"/>
          <w:numId w:val="3"/>
        </w:numPr>
        <w:jc w:val="both"/>
        <w:rPr>
          <w:sz w:val="28"/>
          <w:szCs w:val="28"/>
        </w:rPr>
      </w:pPr>
      <w:r w:rsidRPr="00E81899">
        <w:rPr>
          <w:sz w:val="28"/>
          <w:szCs w:val="28"/>
        </w:rPr>
        <w:t> </w:t>
      </w:r>
      <w:r w:rsidR="00162908" w:rsidRPr="00E81899">
        <w:rPr>
          <w:sz w:val="28"/>
          <w:szCs w:val="28"/>
        </w:rPr>
        <w:t>bērnam ir nodibināta aizbildnība;</w:t>
      </w:r>
    </w:p>
    <w:p w14:paraId="1977A0F4" w14:textId="77777777" w:rsidR="00083D74" w:rsidRPr="00E81899" w:rsidRDefault="00162908" w:rsidP="00083D74">
      <w:pPr>
        <w:pStyle w:val="ListParagraph"/>
        <w:numPr>
          <w:ilvl w:val="0"/>
          <w:numId w:val="3"/>
        </w:numPr>
        <w:jc w:val="both"/>
        <w:rPr>
          <w:sz w:val="28"/>
          <w:szCs w:val="28"/>
        </w:rPr>
      </w:pPr>
      <w:r w:rsidRPr="00E81899">
        <w:rPr>
          <w:sz w:val="28"/>
          <w:szCs w:val="28"/>
        </w:rPr>
        <w:t xml:space="preserve">bērns tiek nodots audžuģimenei; </w:t>
      </w:r>
    </w:p>
    <w:p w14:paraId="1D667F05" w14:textId="5CE1E661" w:rsidR="00162908" w:rsidRPr="00E81899" w:rsidRDefault="00162908" w:rsidP="00083D74">
      <w:pPr>
        <w:pStyle w:val="ListParagraph"/>
        <w:numPr>
          <w:ilvl w:val="0"/>
          <w:numId w:val="3"/>
        </w:numPr>
        <w:jc w:val="both"/>
        <w:rPr>
          <w:sz w:val="28"/>
          <w:szCs w:val="28"/>
        </w:rPr>
      </w:pPr>
      <w:r w:rsidRPr="00E81899">
        <w:rPr>
          <w:sz w:val="28"/>
          <w:szCs w:val="28"/>
        </w:rPr>
        <w:t xml:space="preserve"> likumīgā spēkā stājies tiesas spriedums par bērna adopcijas apstiprināšanu. </w:t>
      </w:r>
      <w:r w:rsidRPr="00E81899">
        <w:rPr>
          <w:sz w:val="28"/>
          <w:szCs w:val="28"/>
        </w:rPr>
        <w:br/>
      </w:r>
    </w:p>
    <w:sectPr w:rsidR="00162908" w:rsidRPr="00E81899" w:rsidSect="00E55A17">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4FC782" w14:textId="77777777" w:rsidR="0015408D" w:rsidRDefault="0015408D" w:rsidP="009D7B73">
      <w:r>
        <w:separator/>
      </w:r>
    </w:p>
  </w:endnote>
  <w:endnote w:type="continuationSeparator" w:id="0">
    <w:p w14:paraId="20D8D8F4" w14:textId="77777777" w:rsidR="0015408D" w:rsidRDefault="0015408D" w:rsidP="009D7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945787"/>
      <w:docPartObj>
        <w:docPartGallery w:val="Page Numbers (Bottom of Page)"/>
        <w:docPartUnique/>
      </w:docPartObj>
    </w:sdtPr>
    <w:sdtEndPr>
      <w:rPr>
        <w:noProof/>
      </w:rPr>
    </w:sdtEndPr>
    <w:sdtContent>
      <w:p w14:paraId="30B8D3AE" w14:textId="6087D0EE" w:rsidR="00E55A17" w:rsidRDefault="00E55A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4D5EB5" w14:textId="77777777" w:rsidR="00E55A17" w:rsidRDefault="00E55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299B9" w14:textId="77777777" w:rsidR="0015408D" w:rsidRDefault="0015408D" w:rsidP="009D7B73">
      <w:r>
        <w:separator/>
      </w:r>
    </w:p>
  </w:footnote>
  <w:footnote w:type="continuationSeparator" w:id="0">
    <w:p w14:paraId="6AFB4B38" w14:textId="77777777" w:rsidR="0015408D" w:rsidRDefault="0015408D" w:rsidP="009D7B73">
      <w:r>
        <w:continuationSeparator/>
      </w:r>
    </w:p>
  </w:footnote>
  <w:footnote w:id="1">
    <w:p w14:paraId="642EEE28" w14:textId="77777777" w:rsidR="009D7B73" w:rsidRPr="00FF46E0" w:rsidRDefault="009D7B73">
      <w:pPr>
        <w:pStyle w:val="FootnoteText"/>
      </w:pPr>
      <w:r w:rsidRPr="00FF46E0">
        <w:rPr>
          <w:rStyle w:val="FootnoteReference"/>
        </w:rPr>
        <w:footnoteRef/>
      </w:r>
      <w:r w:rsidRPr="00FF46E0">
        <w:t xml:space="preserve"> Bāriņtiesu likuma 37. pants paredz</w:t>
      </w:r>
      <w:r w:rsidR="00DA564F" w:rsidRPr="00FF46E0">
        <w:t>, ka b</w:t>
      </w:r>
      <w:r w:rsidRPr="00FF46E0">
        <w:t>āriņtiesa lemj par bērna ārpusģimenes aprūpi pēc vecāku lūguma, ja viņi slimības dēļ nevar bērnu aprūpēt.</w:t>
      </w:r>
    </w:p>
  </w:footnote>
  <w:footnote w:id="2">
    <w:p w14:paraId="7773655F" w14:textId="274A9CCC" w:rsidR="00845793" w:rsidRPr="00920DAD" w:rsidRDefault="00845793">
      <w:pPr>
        <w:pStyle w:val="FootnoteText"/>
        <w:rPr>
          <w:sz w:val="22"/>
          <w:szCs w:val="22"/>
        </w:rPr>
      </w:pPr>
      <w:r w:rsidRPr="00CD6F5D">
        <w:rPr>
          <w:rStyle w:val="FootnoteReference"/>
          <w:sz w:val="24"/>
          <w:szCs w:val="24"/>
        </w:rPr>
        <w:footnoteRef/>
      </w:r>
      <w:r w:rsidRPr="00CD6F5D">
        <w:rPr>
          <w:sz w:val="24"/>
          <w:szCs w:val="24"/>
        </w:rPr>
        <w:t xml:space="preserve"> </w:t>
      </w:r>
      <w:r w:rsidR="00DE6664" w:rsidRPr="00920DAD">
        <w:rPr>
          <w:sz w:val="22"/>
          <w:szCs w:val="22"/>
        </w:rPr>
        <w:t>Bērna pārvietošana no vienas sociālās aprūpes un sociālās rehabilitācijas institūcijas un citu</w:t>
      </w:r>
      <w:r w:rsidR="000F23A2">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7528B4"/>
    <w:multiLevelType w:val="hybridMultilevel"/>
    <w:tmpl w:val="E8AA7FC2"/>
    <w:lvl w:ilvl="0" w:tplc="E9FAA8B6">
      <w:start w:val="1"/>
      <w:numFmt w:val="decimal"/>
      <w:lvlText w:val="%1)"/>
      <w:lvlJc w:val="left"/>
      <w:pPr>
        <w:ind w:left="1155" w:hanging="360"/>
      </w:pPr>
      <w:rPr>
        <w:rFonts w:hint="default"/>
      </w:rPr>
    </w:lvl>
    <w:lvl w:ilvl="1" w:tplc="04260019" w:tentative="1">
      <w:start w:val="1"/>
      <w:numFmt w:val="lowerLetter"/>
      <w:lvlText w:val="%2."/>
      <w:lvlJc w:val="left"/>
      <w:pPr>
        <w:ind w:left="1875" w:hanging="360"/>
      </w:pPr>
    </w:lvl>
    <w:lvl w:ilvl="2" w:tplc="0426001B" w:tentative="1">
      <w:start w:val="1"/>
      <w:numFmt w:val="lowerRoman"/>
      <w:lvlText w:val="%3."/>
      <w:lvlJc w:val="right"/>
      <w:pPr>
        <w:ind w:left="2595" w:hanging="180"/>
      </w:pPr>
    </w:lvl>
    <w:lvl w:ilvl="3" w:tplc="0426000F" w:tentative="1">
      <w:start w:val="1"/>
      <w:numFmt w:val="decimal"/>
      <w:lvlText w:val="%4."/>
      <w:lvlJc w:val="left"/>
      <w:pPr>
        <w:ind w:left="3315" w:hanging="360"/>
      </w:pPr>
    </w:lvl>
    <w:lvl w:ilvl="4" w:tplc="04260019" w:tentative="1">
      <w:start w:val="1"/>
      <w:numFmt w:val="lowerLetter"/>
      <w:lvlText w:val="%5."/>
      <w:lvlJc w:val="left"/>
      <w:pPr>
        <w:ind w:left="4035" w:hanging="360"/>
      </w:pPr>
    </w:lvl>
    <w:lvl w:ilvl="5" w:tplc="0426001B" w:tentative="1">
      <w:start w:val="1"/>
      <w:numFmt w:val="lowerRoman"/>
      <w:lvlText w:val="%6."/>
      <w:lvlJc w:val="right"/>
      <w:pPr>
        <w:ind w:left="4755" w:hanging="180"/>
      </w:pPr>
    </w:lvl>
    <w:lvl w:ilvl="6" w:tplc="0426000F" w:tentative="1">
      <w:start w:val="1"/>
      <w:numFmt w:val="decimal"/>
      <w:lvlText w:val="%7."/>
      <w:lvlJc w:val="left"/>
      <w:pPr>
        <w:ind w:left="5475" w:hanging="360"/>
      </w:pPr>
    </w:lvl>
    <w:lvl w:ilvl="7" w:tplc="04260019" w:tentative="1">
      <w:start w:val="1"/>
      <w:numFmt w:val="lowerLetter"/>
      <w:lvlText w:val="%8."/>
      <w:lvlJc w:val="left"/>
      <w:pPr>
        <w:ind w:left="6195" w:hanging="360"/>
      </w:pPr>
    </w:lvl>
    <w:lvl w:ilvl="8" w:tplc="0426001B" w:tentative="1">
      <w:start w:val="1"/>
      <w:numFmt w:val="lowerRoman"/>
      <w:lvlText w:val="%9."/>
      <w:lvlJc w:val="right"/>
      <w:pPr>
        <w:ind w:left="6915" w:hanging="180"/>
      </w:pPr>
    </w:lvl>
  </w:abstractNum>
  <w:abstractNum w:abstractNumId="1" w15:restartNumberingAfterBreak="0">
    <w:nsid w:val="67002B0D"/>
    <w:multiLevelType w:val="hybridMultilevel"/>
    <w:tmpl w:val="F16E9654"/>
    <w:lvl w:ilvl="0" w:tplc="27B25DB2">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 w15:restartNumberingAfterBreak="0">
    <w:nsid w:val="7D7C4DD2"/>
    <w:multiLevelType w:val="hybridMultilevel"/>
    <w:tmpl w:val="800A67F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4F"/>
    <w:rsid w:val="0002150A"/>
    <w:rsid w:val="000228FB"/>
    <w:rsid w:val="00025272"/>
    <w:rsid w:val="00050E8B"/>
    <w:rsid w:val="00072AB0"/>
    <w:rsid w:val="00077457"/>
    <w:rsid w:val="00083D74"/>
    <w:rsid w:val="000D2D4A"/>
    <w:rsid w:val="000F23A2"/>
    <w:rsid w:val="001509C5"/>
    <w:rsid w:val="0015408D"/>
    <w:rsid w:val="00162908"/>
    <w:rsid w:val="001737DA"/>
    <w:rsid w:val="00205FC9"/>
    <w:rsid w:val="00274A1D"/>
    <w:rsid w:val="003444A4"/>
    <w:rsid w:val="00344E02"/>
    <w:rsid w:val="0036450C"/>
    <w:rsid w:val="00386E4C"/>
    <w:rsid w:val="00390A42"/>
    <w:rsid w:val="0039406C"/>
    <w:rsid w:val="003F39C2"/>
    <w:rsid w:val="004465E6"/>
    <w:rsid w:val="00474AB0"/>
    <w:rsid w:val="00561B07"/>
    <w:rsid w:val="0058046D"/>
    <w:rsid w:val="005929E3"/>
    <w:rsid w:val="00683516"/>
    <w:rsid w:val="006C1805"/>
    <w:rsid w:val="006F1481"/>
    <w:rsid w:val="00715FBA"/>
    <w:rsid w:val="0077046B"/>
    <w:rsid w:val="00773AF8"/>
    <w:rsid w:val="00783660"/>
    <w:rsid w:val="007A1FB8"/>
    <w:rsid w:val="007F178E"/>
    <w:rsid w:val="007F4200"/>
    <w:rsid w:val="008268E5"/>
    <w:rsid w:val="00845793"/>
    <w:rsid w:val="008C68EB"/>
    <w:rsid w:val="008D199A"/>
    <w:rsid w:val="009011AA"/>
    <w:rsid w:val="00920DAD"/>
    <w:rsid w:val="009278F4"/>
    <w:rsid w:val="009C1162"/>
    <w:rsid w:val="009D58F8"/>
    <w:rsid w:val="009D7B73"/>
    <w:rsid w:val="00A10CB9"/>
    <w:rsid w:val="00A211D7"/>
    <w:rsid w:val="00A356D3"/>
    <w:rsid w:val="00A5087A"/>
    <w:rsid w:val="00A87A41"/>
    <w:rsid w:val="00A909A7"/>
    <w:rsid w:val="00AB158D"/>
    <w:rsid w:val="00AB77E0"/>
    <w:rsid w:val="00AD11C5"/>
    <w:rsid w:val="00B34D4F"/>
    <w:rsid w:val="00B35FE5"/>
    <w:rsid w:val="00B62A54"/>
    <w:rsid w:val="00B71EDE"/>
    <w:rsid w:val="00B852E4"/>
    <w:rsid w:val="00B93D7D"/>
    <w:rsid w:val="00BA1CDB"/>
    <w:rsid w:val="00CD6F5D"/>
    <w:rsid w:val="00DA564F"/>
    <w:rsid w:val="00DD129C"/>
    <w:rsid w:val="00DE6664"/>
    <w:rsid w:val="00E44AD8"/>
    <w:rsid w:val="00E55A17"/>
    <w:rsid w:val="00E81899"/>
    <w:rsid w:val="00F9610A"/>
    <w:rsid w:val="00FB185D"/>
    <w:rsid w:val="00FF46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DC3F"/>
  <w15:chartTrackingRefBased/>
  <w15:docId w15:val="{88410148-A58B-4B64-B56F-F55A42ED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8F4"/>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4200"/>
    <w:rPr>
      <w:color w:val="0563C1" w:themeColor="hyperlink"/>
      <w:u w:val="single"/>
    </w:rPr>
  </w:style>
  <w:style w:type="paragraph" w:styleId="ListParagraph">
    <w:name w:val="List Paragraph"/>
    <w:basedOn w:val="Normal"/>
    <w:uiPriority w:val="34"/>
    <w:qFormat/>
    <w:rsid w:val="007F178E"/>
    <w:pPr>
      <w:ind w:left="720"/>
      <w:contextualSpacing/>
    </w:pPr>
  </w:style>
  <w:style w:type="paragraph" w:styleId="FootnoteText">
    <w:name w:val="footnote text"/>
    <w:basedOn w:val="Normal"/>
    <w:link w:val="FootnoteTextChar"/>
    <w:uiPriority w:val="99"/>
    <w:semiHidden/>
    <w:unhideWhenUsed/>
    <w:rsid w:val="009D7B73"/>
    <w:rPr>
      <w:sz w:val="20"/>
      <w:szCs w:val="20"/>
    </w:rPr>
  </w:style>
  <w:style w:type="character" w:customStyle="1" w:styleId="FootnoteTextChar">
    <w:name w:val="Footnote Text Char"/>
    <w:basedOn w:val="DefaultParagraphFont"/>
    <w:link w:val="FootnoteText"/>
    <w:uiPriority w:val="99"/>
    <w:semiHidden/>
    <w:rsid w:val="009D7B73"/>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D7B73"/>
    <w:rPr>
      <w:vertAlign w:val="superscript"/>
    </w:rPr>
  </w:style>
  <w:style w:type="paragraph" w:styleId="NormalWeb">
    <w:name w:val="Normal (Web)"/>
    <w:basedOn w:val="Normal"/>
    <w:uiPriority w:val="99"/>
    <w:semiHidden/>
    <w:unhideWhenUsed/>
    <w:rsid w:val="00162908"/>
    <w:pPr>
      <w:spacing w:before="100" w:beforeAutospacing="1" w:after="100" w:afterAutospacing="1"/>
    </w:pPr>
  </w:style>
  <w:style w:type="character" w:styleId="CommentReference">
    <w:name w:val="annotation reference"/>
    <w:basedOn w:val="DefaultParagraphFont"/>
    <w:uiPriority w:val="99"/>
    <w:semiHidden/>
    <w:unhideWhenUsed/>
    <w:rsid w:val="009C1162"/>
    <w:rPr>
      <w:sz w:val="16"/>
      <w:szCs w:val="16"/>
    </w:rPr>
  </w:style>
  <w:style w:type="paragraph" w:styleId="CommentText">
    <w:name w:val="annotation text"/>
    <w:basedOn w:val="Normal"/>
    <w:link w:val="CommentTextChar"/>
    <w:uiPriority w:val="99"/>
    <w:semiHidden/>
    <w:unhideWhenUsed/>
    <w:rsid w:val="009C1162"/>
    <w:rPr>
      <w:sz w:val="20"/>
      <w:szCs w:val="20"/>
    </w:rPr>
  </w:style>
  <w:style w:type="character" w:customStyle="1" w:styleId="CommentTextChar">
    <w:name w:val="Comment Text Char"/>
    <w:basedOn w:val="DefaultParagraphFont"/>
    <w:link w:val="CommentText"/>
    <w:uiPriority w:val="99"/>
    <w:semiHidden/>
    <w:rsid w:val="009C1162"/>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9C1162"/>
    <w:rPr>
      <w:b/>
      <w:bCs/>
    </w:rPr>
  </w:style>
  <w:style w:type="character" w:customStyle="1" w:styleId="CommentSubjectChar">
    <w:name w:val="Comment Subject Char"/>
    <w:basedOn w:val="CommentTextChar"/>
    <w:link w:val="CommentSubject"/>
    <w:uiPriority w:val="99"/>
    <w:semiHidden/>
    <w:rsid w:val="009C1162"/>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9C11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162"/>
    <w:rPr>
      <w:rFonts w:ascii="Segoe UI" w:eastAsia="Times New Roman" w:hAnsi="Segoe UI" w:cs="Segoe UI"/>
      <w:sz w:val="18"/>
      <w:szCs w:val="18"/>
      <w:lang w:eastAsia="lv-LV"/>
    </w:rPr>
  </w:style>
  <w:style w:type="paragraph" w:styleId="Header">
    <w:name w:val="header"/>
    <w:basedOn w:val="Normal"/>
    <w:link w:val="HeaderChar"/>
    <w:uiPriority w:val="99"/>
    <w:unhideWhenUsed/>
    <w:rsid w:val="00E55A17"/>
    <w:pPr>
      <w:tabs>
        <w:tab w:val="center" w:pos="4153"/>
        <w:tab w:val="right" w:pos="8306"/>
      </w:tabs>
    </w:pPr>
  </w:style>
  <w:style w:type="character" w:customStyle="1" w:styleId="HeaderChar">
    <w:name w:val="Header Char"/>
    <w:basedOn w:val="DefaultParagraphFont"/>
    <w:link w:val="Header"/>
    <w:uiPriority w:val="99"/>
    <w:rsid w:val="00E55A17"/>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E55A17"/>
    <w:pPr>
      <w:tabs>
        <w:tab w:val="center" w:pos="4153"/>
        <w:tab w:val="right" w:pos="8306"/>
      </w:tabs>
    </w:pPr>
  </w:style>
  <w:style w:type="character" w:customStyle="1" w:styleId="FooterChar">
    <w:name w:val="Footer Char"/>
    <w:basedOn w:val="DefaultParagraphFont"/>
    <w:link w:val="Footer"/>
    <w:uiPriority w:val="99"/>
    <w:rsid w:val="00E55A17"/>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66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i.gov.lv/lat/barintiesas/metodiskie_ieteikumi_/?doc=3655&amp;page=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DC003-1F98-49BA-8A66-AE9F5B7AF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4098</Words>
  <Characters>2337</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Ķurbe</dc:creator>
  <cp:keywords/>
  <dc:description/>
  <cp:lastModifiedBy>Laura Ķurbe</cp:lastModifiedBy>
  <cp:revision>4</cp:revision>
  <dcterms:created xsi:type="dcterms:W3CDTF">2019-06-10T06:37:00Z</dcterms:created>
  <dcterms:modified xsi:type="dcterms:W3CDTF">2019-06-10T06:38:00Z</dcterms:modified>
</cp:coreProperties>
</file>