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F56" w:rsidRDefault="00877F56" w:rsidP="00877F56">
      <w:pPr>
        <w:pStyle w:val="tv21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877F56">
        <w:rPr>
          <w:b/>
          <w:sz w:val="28"/>
          <w:szCs w:val="28"/>
        </w:rPr>
        <w:t>Par nodokļu parādiem nepilngadīgajiem</w:t>
      </w:r>
    </w:p>
    <w:p w:rsidR="00DC3319" w:rsidRPr="00877F56" w:rsidRDefault="00DC3319" w:rsidP="00877F56">
      <w:pPr>
        <w:pStyle w:val="tv21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877F56" w:rsidRDefault="00877F56" w:rsidP="00AC03FC">
      <w:pPr>
        <w:pStyle w:val="tv21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9F11C3" w:rsidRDefault="009F11C3" w:rsidP="009F11C3">
      <w:pPr>
        <w:pStyle w:val="tv21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Valsts ieņēmuma dienests (turpmāk - VID) savā darbībā konstatējis gadījumus, ka nodokļu parāds, kas radies atsavinot nekustamo īpašumu un</w:t>
      </w:r>
      <w:r w:rsidR="00044687">
        <w:rPr>
          <w:sz w:val="26"/>
          <w:szCs w:val="26"/>
        </w:rPr>
        <w:t>,</w:t>
      </w:r>
      <w:r>
        <w:rPr>
          <w:sz w:val="26"/>
          <w:szCs w:val="26"/>
        </w:rPr>
        <w:t xml:space="preserve"> neveicot ar darījumu saistīto nodokļu samaksu budžetā, piedzenams no nepilngadīgām personām. Ievērojot konstatēto, VID aicina vērst bāriņtiesu uzmanību bērnu mantisko tiesību aizsardzības nodrošināšanā, lai </w:t>
      </w:r>
      <w:r w:rsidR="005A1A9F">
        <w:rPr>
          <w:sz w:val="26"/>
          <w:szCs w:val="26"/>
        </w:rPr>
        <w:t>nepieļautu nepilngadīgo personu tiesību un ar likumu aizsargāto interešu aizskārumu.</w:t>
      </w:r>
    </w:p>
    <w:p w:rsidR="00AC03FC" w:rsidRPr="00AC03FC" w:rsidRDefault="009F11C3" w:rsidP="009F11C3">
      <w:pPr>
        <w:pStyle w:val="tv21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C03FC" w:rsidRPr="00AC03FC">
        <w:rPr>
          <w:sz w:val="26"/>
          <w:szCs w:val="26"/>
        </w:rPr>
        <w:t>Saskaņā</w:t>
      </w:r>
      <w:r w:rsidR="00AC03FC">
        <w:rPr>
          <w:sz w:val="26"/>
          <w:szCs w:val="26"/>
        </w:rPr>
        <w:t xml:space="preserve"> </w:t>
      </w:r>
      <w:r w:rsidR="00AC03FC" w:rsidRPr="00AC03FC">
        <w:rPr>
          <w:sz w:val="26"/>
          <w:szCs w:val="26"/>
        </w:rPr>
        <w:t xml:space="preserve">ar </w:t>
      </w:r>
      <w:r w:rsidR="00AC03FC">
        <w:rPr>
          <w:sz w:val="26"/>
          <w:szCs w:val="26"/>
        </w:rPr>
        <w:t>Latvijas Republikas Civillikumā (turpmāk - Civillikums) noteikto</w:t>
      </w:r>
      <w:r w:rsidR="00AC03FC" w:rsidRPr="00AC03FC">
        <w:rPr>
          <w:sz w:val="26"/>
          <w:szCs w:val="26"/>
        </w:rPr>
        <w:t>, pārdot nepilngadīgajam piederošu nekustamo īpašumu</w:t>
      </w:r>
      <w:r w:rsidR="00B729E0">
        <w:rPr>
          <w:sz w:val="26"/>
          <w:szCs w:val="26"/>
        </w:rPr>
        <w:t>,</w:t>
      </w:r>
      <w:r w:rsidR="00AC03FC" w:rsidRPr="00AC03FC">
        <w:rPr>
          <w:sz w:val="26"/>
          <w:szCs w:val="26"/>
        </w:rPr>
        <w:t xml:space="preserve"> pieļaujams tikai atsevišķos gadījumos:</w:t>
      </w:r>
    </w:p>
    <w:p w:rsidR="00AC03FC" w:rsidRPr="00AC03FC" w:rsidRDefault="00AC03FC" w:rsidP="009F11C3">
      <w:pPr>
        <w:pStyle w:val="tv213"/>
        <w:spacing w:before="0" w:beforeAutospacing="0" w:after="0" w:afterAutospacing="0" w:line="276" w:lineRule="auto"/>
        <w:ind w:left="284"/>
        <w:jc w:val="both"/>
        <w:rPr>
          <w:sz w:val="26"/>
          <w:szCs w:val="26"/>
        </w:rPr>
      </w:pPr>
      <w:r w:rsidRPr="00AC03FC">
        <w:rPr>
          <w:sz w:val="26"/>
          <w:szCs w:val="26"/>
        </w:rPr>
        <w:t>1) izdalot mantojumu starp pilngadīgajiem un nepilngadīgajiem mantiniekiem;</w:t>
      </w:r>
    </w:p>
    <w:p w:rsidR="00AC03FC" w:rsidRPr="00AC03FC" w:rsidRDefault="00AC03FC" w:rsidP="009F11C3">
      <w:pPr>
        <w:pStyle w:val="tv213"/>
        <w:spacing w:before="0" w:beforeAutospacing="0" w:after="0" w:afterAutospacing="0" w:line="276" w:lineRule="auto"/>
        <w:ind w:left="284"/>
        <w:jc w:val="both"/>
        <w:rPr>
          <w:sz w:val="26"/>
          <w:szCs w:val="26"/>
        </w:rPr>
      </w:pPr>
      <w:r w:rsidRPr="00AC03FC">
        <w:rPr>
          <w:sz w:val="26"/>
          <w:szCs w:val="26"/>
        </w:rPr>
        <w:t>2) neatliekamu parādu samaksai, kas pārgājuši uz viņu kopā ar mantojumu;</w:t>
      </w:r>
    </w:p>
    <w:p w:rsidR="00AC03FC" w:rsidRPr="00AC03FC" w:rsidRDefault="00AC03FC" w:rsidP="009F11C3">
      <w:pPr>
        <w:pStyle w:val="tv213"/>
        <w:spacing w:before="0" w:beforeAutospacing="0" w:after="0" w:afterAutospacing="0" w:line="276" w:lineRule="auto"/>
        <w:ind w:left="284"/>
        <w:jc w:val="both"/>
        <w:rPr>
          <w:sz w:val="26"/>
          <w:szCs w:val="26"/>
        </w:rPr>
      </w:pPr>
      <w:r w:rsidRPr="00AC03FC">
        <w:rPr>
          <w:sz w:val="26"/>
          <w:szCs w:val="26"/>
        </w:rPr>
        <w:t>3) ja nav nekādu citu līdzekļu viņa uzturam;</w:t>
      </w:r>
    </w:p>
    <w:p w:rsidR="00AC03FC" w:rsidRPr="00AC03FC" w:rsidRDefault="00AC03FC" w:rsidP="009F11C3">
      <w:pPr>
        <w:pStyle w:val="tv213"/>
        <w:spacing w:before="0" w:beforeAutospacing="0" w:after="0" w:afterAutospacing="0" w:line="276" w:lineRule="auto"/>
        <w:ind w:left="284"/>
        <w:jc w:val="both"/>
        <w:rPr>
          <w:sz w:val="26"/>
          <w:szCs w:val="26"/>
        </w:rPr>
      </w:pPr>
      <w:r w:rsidRPr="00AC03FC">
        <w:rPr>
          <w:sz w:val="26"/>
          <w:szCs w:val="26"/>
        </w:rPr>
        <w:t>4) ja pārdošana ir vienīgais līdzeklis novērst nepilngadīgajam draudošu ievērojamu zaudējumu.</w:t>
      </w:r>
    </w:p>
    <w:p w:rsidR="00AC03FC" w:rsidRPr="00AC03FC" w:rsidRDefault="00AC03FC" w:rsidP="009F11C3">
      <w:pPr>
        <w:pStyle w:val="tv21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C03FC">
        <w:rPr>
          <w:sz w:val="26"/>
          <w:szCs w:val="26"/>
        </w:rPr>
        <w:t>Par minētajiem gadījumiem aizbildnim jāziņo bāriņtiesai, kura</w:t>
      </w:r>
      <w:r w:rsidR="009F11C3">
        <w:rPr>
          <w:sz w:val="26"/>
          <w:szCs w:val="26"/>
        </w:rPr>
        <w:t>,</w:t>
      </w:r>
      <w:r w:rsidRPr="00AC03FC">
        <w:rPr>
          <w:sz w:val="26"/>
          <w:szCs w:val="26"/>
        </w:rPr>
        <w:t xml:space="preserve"> </w:t>
      </w:r>
      <w:proofErr w:type="gramStart"/>
      <w:r w:rsidRPr="00AC03FC">
        <w:rPr>
          <w:sz w:val="26"/>
          <w:szCs w:val="26"/>
        </w:rPr>
        <w:t>apsvērusi norādītos apstākļus</w:t>
      </w:r>
      <w:proofErr w:type="gramEnd"/>
      <w:r w:rsidRPr="00AC03FC">
        <w:rPr>
          <w:sz w:val="26"/>
          <w:szCs w:val="26"/>
        </w:rPr>
        <w:t xml:space="preserve"> un pārliecinājusies par nodomātās pārdošanas vajadzību vai derīgumu, vai nu pati atļauj pārdot, ja nekustamais īpašums novērtēts ne augstāk par 14 000 </w:t>
      </w:r>
      <w:proofErr w:type="spellStart"/>
      <w:r w:rsidRPr="00AC03FC">
        <w:rPr>
          <w:i/>
          <w:iCs/>
          <w:sz w:val="26"/>
          <w:szCs w:val="26"/>
        </w:rPr>
        <w:t>euro</w:t>
      </w:r>
      <w:proofErr w:type="spellEnd"/>
      <w:r w:rsidRPr="00AC03FC">
        <w:rPr>
          <w:sz w:val="26"/>
          <w:szCs w:val="26"/>
        </w:rPr>
        <w:t>, vai arī, ja tas novērtēts augstāk, iesniedz lietu izšķirt tiesai.</w:t>
      </w:r>
      <w:r w:rsidRPr="00AC03FC">
        <w:rPr>
          <w:rStyle w:val="FootnoteReference"/>
          <w:sz w:val="26"/>
          <w:szCs w:val="26"/>
        </w:rPr>
        <w:footnoteReference w:id="1"/>
      </w:r>
      <w:r w:rsidRPr="00AC03FC">
        <w:rPr>
          <w:sz w:val="26"/>
          <w:szCs w:val="26"/>
        </w:rPr>
        <w:t xml:space="preserve"> </w:t>
      </w:r>
    </w:p>
    <w:p w:rsidR="00AC03FC" w:rsidRPr="00AC03FC" w:rsidRDefault="00AC03FC" w:rsidP="009F11C3">
      <w:pPr>
        <w:pStyle w:val="tv21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C03FC">
        <w:rPr>
          <w:sz w:val="26"/>
          <w:szCs w:val="26"/>
        </w:rPr>
        <w:t>Bāriņtiesa prioritāri nodrošina bērna vai aizgādnībā esošās personas tiesību un tiesisko interešu aizsardzību.</w:t>
      </w:r>
      <w:r w:rsidRPr="00AC03FC">
        <w:rPr>
          <w:rStyle w:val="FootnoteReference"/>
          <w:sz w:val="26"/>
          <w:szCs w:val="26"/>
        </w:rPr>
        <w:footnoteReference w:id="2"/>
      </w:r>
      <w:r w:rsidRPr="00AC03FC">
        <w:rPr>
          <w:sz w:val="26"/>
          <w:szCs w:val="26"/>
        </w:rPr>
        <w:t xml:space="preserve"> Bāriņtiesa aizstāv bērna vai aizgādnībā esošās personas personiskās un mantiskās intereses un tiesības.</w:t>
      </w:r>
      <w:r w:rsidRPr="00AC03FC">
        <w:rPr>
          <w:rStyle w:val="FootnoteReference"/>
          <w:sz w:val="26"/>
          <w:szCs w:val="26"/>
        </w:rPr>
        <w:footnoteReference w:id="3"/>
      </w:r>
      <w:r w:rsidRPr="00AC03FC">
        <w:rPr>
          <w:sz w:val="26"/>
          <w:szCs w:val="26"/>
        </w:rPr>
        <w:t xml:space="preserve"> Kā arī </w:t>
      </w:r>
      <w:r w:rsidRPr="00AC03FC">
        <w:rPr>
          <w:rFonts w:eastAsia="Calibri"/>
          <w:sz w:val="26"/>
          <w:szCs w:val="26"/>
          <w:lang w:eastAsia="en-US"/>
        </w:rPr>
        <w:t>aizstāv</w:t>
      </w:r>
      <w:r w:rsidRPr="00AC03FC">
        <w:rPr>
          <w:rStyle w:val="FootnoteReference"/>
          <w:rFonts w:eastAsia="Calibri"/>
          <w:sz w:val="26"/>
          <w:szCs w:val="26"/>
          <w:lang w:eastAsia="en-US"/>
        </w:rPr>
        <w:footnoteReference w:id="4"/>
      </w:r>
      <w:r w:rsidRPr="00AC03FC">
        <w:rPr>
          <w:rFonts w:eastAsia="Calibri"/>
          <w:sz w:val="26"/>
          <w:szCs w:val="26"/>
          <w:lang w:eastAsia="en-US"/>
        </w:rPr>
        <w:t xml:space="preserve"> un uzrauga nepilngadīgā bērna mantiskās intereses </w:t>
      </w:r>
      <w:hyperlink r:id="rId6" w:tgtFrame="_blank" w:history="1">
        <w:r w:rsidRPr="00AC03FC">
          <w:rPr>
            <w:rFonts w:eastAsia="Calibri"/>
            <w:sz w:val="26"/>
            <w:szCs w:val="26"/>
            <w:lang w:eastAsia="en-US"/>
          </w:rPr>
          <w:t>Civillikumā</w:t>
        </w:r>
      </w:hyperlink>
      <w:r w:rsidRPr="00AC03FC">
        <w:rPr>
          <w:rFonts w:eastAsia="Calibri"/>
          <w:sz w:val="26"/>
          <w:szCs w:val="26"/>
          <w:lang w:eastAsia="en-US"/>
        </w:rPr>
        <w:t xml:space="preserve"> paredzētajos gadījumos.</w:t>
      </w:r>
      <w:r w:rsidRPr="00AC03FC">
        <w:rPr>
          <w:rStyle w:val="FootnoteReference"/>
          <w:rFonts w:eastAsia="Calibri"/>
          <w:sz w:val="26"/>
          <w:szCs w:val="26"/>
          <w:lang w:eastAsia="en-US"/>
        </w:rPr>
        <w:footnoteReference w:id="5"/>
      </w:r>
    </w:p>
    <w:p w:rsidR="00AC03FC" w:rsidRPr="00AC03FC" w:rsidRDefault="00AC03FC" w:rsidP="009F11C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03FC">
        <w:rPr>
          <w:rFonts w:ascii="Times New Roman" w:eastAsia="Calibri" w:hAnsi="Times New Roman" w:cs="Times New Roman"/>
          <w:sz w:val="26"/>
          <w:szCs w:val="26"/>
        </w:rPr>
        <w:t xml:space="preserve">Ņemot vērā Bāriņtiesas uzdevumus nepilngadīgo personu mantisko tiesību aizsardzībā un uzraudzībā, secināms, ka </w:t>
      </w:r>
      <w:r w:rsidR="00044687">
        <w:rPr>
          <w:rFonts w:ascii="Times New Roman" w:eastAsia="Calibri" w:hAnsi="Times New Roman" w:cs="Times New Roman"/>
          <w:sz w:val="26"/>
          <w:szCs w:val="26"/>
        </w:rPr>
        <w:t>b</w:t>
      </w:r>
      <w:bookmarkStart w:id="0" w:name="_GoBack"/>
      <w:bookmarkEnd w:id="0"/>
      <w:r w:rsidRPr="00AC03FC">
        <w:rPr>
          <w:rFonts w:ascii="Times New Roman" w:eastAsia="Calibri" w:hAnsi="Times New Roman" w:cs="Times New Roman"/>
          <w:sz w:val="26"/>
          <w:szCs w:val="26"/>
        </w:rPr>
        <w:t xml:space="preserve">āriņtiesām gadījumos, kad tiek atsavināti nepilngadīgo personu nekustamie īpašumi, ir jāraugās, lai šie darījumi neaizskartu nepilngadīgās personas tiesiskās intereses. Proti, nebūtu pieļaujami gadījumi, </w:t>
      </w:r>
      <w:proofErr w:type="gramStart"/>
      <w:r w:rsidRPr="00AC03FC">
        <w:rPr>
          <w:rFonts w:ascii="Times New Roman" w:eastAsia="Calibri" w:hAnsi="Times New Roman" w:cs="Times New Roman"/>
          <w:sz w:val="26"/>
          <w:szCs w:val="26"/>
        </w:rPr>
        <w:t>ka personas, kas nepilngadīgās personas vārdā atsavina nekustamo īpašumu, normatīvajos aktos noteiktajā kārtībā neaprēķina</w:t>
      </w:r>
      <w:proofErr w:type="gramEnd"/>
      <w:r w:rsidRPr="00AC03FC">
        <w:rPr>
          <w:rFonts w:ascii="Times New Roman" w:eastAsia="Calibri" w:hAnsi="Times New Roman" w:cs="Times New Roman"/>
          <w:sz w:val="26"/>
          <w:szCs w:val="26"/>
        </w:rPr>
        <w:t xml:space="preserve"> un nesamaksā budžetā nodokļu maksājumus, kā rezultātā nepilngadīgajām personām pēc darījuma veikšanas izveidojās nodokļu maksājumu parādi. </w:t>
      </w:r>
    </w:p>
    <w:p w:rsidR="00AC03FC" w:rsidRPr="00AC03FC" w:rsidRDefault="005A1A9F" w:rsidP="009F11C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Tādējādi</w:t>
      </w:r>
      <w:r w:rsidR="00AC03FC" w:rsidRPr="00AC03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7F56">
        <w:rPr>
          <w:rFonts w:ascii="Times New Roman" w:eastAsia="Calibri" w:hAnsi="Times New Roman" w:cs="Times New Roman"/>
          <w:sz w:val="26"/>
          <w:szCs w:val="26"/>
        </w:rPr>
        <w:t>b</w:t>
      </w:r>
      <w:r w:rsidR="00AC03FC" w:rsidRPr="00AC03FC">
        <w:rPr>
          <w:rFonts w:ascii="Times New Roman" w:eastAsia="Calibri" w:hAnsi="Times New Roman" w:cs="Times New Roman"/>
          <w:sz w:val="26"/>
          <w:szCs w:val="26"/>
        </w:rPr>
        <w:t>āriņties</w:t>
      </w:r>
      <w:r>
        <w:rPr>
          <w:rFonts w:ascii="Times New Roman" w:eastAsia="Calibri" w:hAnsi="Times New Roman" w:cs="Times New Roman"/>
          <w:sz w:val="26"/>
          <w:szCs w:val="26"/>
        </w:rPr>
        <w:t>ām</w:t>
      </w:r>
      <w:r w:rsidR="00AC03FC" w:rsidRPr="00AC03FC">
        <w:rPr>
          <w:rFonts w:ascii="Times New Roman" w:eastAsia="Calibri" w:hAnsi="Times New Roman" w:cs="Times New Roman"/>
          <w:sz w:val="26"/>
          <w:szCs w:val="26"/>
        </w:rPr>
        <w:t xml:space="preserve">, aizstāvot nepilngadīgo personu tiesiskās intereses, </w:t>
      </w:r>
      <w:r>
        <w:rPr>
          <w:rFonts w:ascii="Times New Roman" w:eastAsia="Calibri" w:hAnsi="Times New Roman" w:cs="Times New Roman"/>
          <w:sz w:val="26"/>
          <w:szCs w:val="26"/>
        </w:rPr>
        <w:t xml:space="preserve">nepieciešams </w:t>
      </w:r>
      <w:r w:rsidR="00877F56">
        <w:rPr>
          <w:rFonts w:ascii="Times New Roman" w:eastAsia="Calibri" w:hAnsi="Times New Roman" w:cs="Times New Roman"/>
          <w:sz w:val="26"/>
          <w:szCs w:val="26"/>
        </w:rPr>
        <w:t>veikt</w:t>
      </w:r>
      <w:r w:rsidR="00AC03FC" w:rsidRPr="00AC03FC">
        <w:rPr>
          <w:rFonts w:ascii="Times New Roman" w:eastAsia="Calibri" w:hAnsi="Times New Roman" w:cs="Times New Roman"/>
          <w:sz w:val="26"/>
          <w:szCs w:val="26"/>
        </w:rPr>
        <w:t xml:space="preserve"> pasākum</w:t>
      </w:r>
      <w:r w:rsidR="00877F56">
        <w:rPr>
          <w:rFonts w:ascii="Times New Roman" w:eastAsia="Calibri" w:hAnsi="Times New Roman" w:cs="Times New Roman"/>
          <w:sz w:val="26"/>
          <w:szCs w:val="26"/>
        </w:rPr>
        <w:t>us</w:t>
      </w:r>
      <w:r w:rsidR="00AC03FC" w:rsidRPr="00AC03FC">
        <w:rPr>
          <w:rFonts w:ascii="Times New Roman" w:eastAsia="Calibri" w:hAnsi="Times New Roman" w:cs="Times New Roman"/>
          <w:sz w:val="26"/>
          <w:szCs w:val="26"/>
        </w:rPr>
        <w:t>, lai nodrošinātu, ka persona, kas nepilngadīgās personas vārdā ir pilnvarota veikt atsavināšanas darījumu, nodrošina arī nodokļu aprēķināšanu un samaksu tiesību normās noteiktajā kārtībā un termiņā.</w:t>
      </w:r>
    </w:p>
    <w:p w:rsidR="00710D15" w:rsidRPr="009F11C3" w:rsidRDefault="00AC03FC" w:rsidP="009F11C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03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A1A9F">
        <w:rPr>
          <w:rFonts w:ascii="Times New Roman" w:eastAsia="Calibri" w:hAnsi="Times New Roman" w:cs="Times New Roman"/>
          <w:sz w:val="26"/>
          <w:szCs w:val="26"/>
        </w:rPr>
        <w:t>T</w:t>
      </w:r>
      <w:r w:rsidRPr="00AC03FC">
        <w:rPr>
          <w:rFonts w:ascii="Times New Roman" w:eastAsia="Calibri" w:hAnsi="Times New Roman" w:cs="Times New Roman"/>
          <w:sz w:val="26"/>
          <w:szCs w:val="26"/>
        </w:rPr>
        <w:t>iesību normas neparedz nodokļu parādu piedziņas ierobežojumus attiecībā uz nepilngadīgām personām, tāpat tiesību normas neparedz atbrīvot nepilngadīgās personas no nokavējuma naudas aprēķināšanas</w:t>
      </w:r>
      <w:r w:rsidRPr="00AC03FC">
        <w:rPr>
          <w:rStyle w:val="FootnoteReference"/>
          <w:rFonts w:ascii="Times New Roman" w:eastAsia="Calibri" w:hAnsi="Times New Roman" w:cs="Times New Roman"/>
          <w:sz w:val="26"/>
          <w:szCs w:val="26"/>
        </w:rPr>
        <w:footnoteReference w:id="6"/>
      </w:r>
      <w:r w:rsidRPr="00AC03FC">
        <w:rPr>
          <w:rFonts w:ascii="Times New Roman" w:eastAsia="Calibri" w:hAnsi="Times New Roman" w:cs="Times New Roman"/>
          <w:sz w:val="26"/>
          <w:szCs w:val="26"/>
        </w:rPr>
        <w:t xml:space="preserve"> nokavētajiem nodokļu maksājumiem, kā arī </w:t>
      </w:r>
      <w:r w:rsidRPr="00AC03FC">
        <w:rPr>
          <w:rFonts w:ascii="Times New Roman" w:eastAsia="Calibri" w:hAnsi="Times New Roman" w:cs="Times New Roman"/>
          <w:sz w:val="26"/>
          <w:szCs w:val="26"/>
        </w:rPr>
        <w:lastRenderedPageBreak/>
        <w:t>neparedz atbrīvot no pienākuma segt izpildes izdevumus</w:t>
      </w:r>
      <w:r w:rsidRPr="00AC03FC">
        <w:rPr>
          <w:rStyle w:val="FootnoteReference"/>
          <w:rFonts w:ascii="Times New Roman" w:eastAsia="Calibri" w:hAnsi="Times New Roman" w:cs="Times New Roman"/>
          <w:sz w:val="26"/>
          <w:szCs w:val="26"/>
        </w:rPr>
        <w:footnoteReference w:id="7"/>
      </w:r>
      <w:r w:rsidRPr="00AC03FC">
        <w:rPr>
          <w:rFonts w:ascii="Times New Roman" w:eastAsia="Calibri" w:hAnsi="Times New Roman" w:cs="Times New Roman"/>
          <w:sz w:val="26"/>
          <w:szCs w:val="26"/>
        </w:rPr>
        <w:t xml:space="preserve"> piedziņas procesā. Tādējādi nepilngadīgās personas interesēs ir normatīvajos aktos noteiktajā kārtībā un termiņā veikt nodokļu aprēķināšanu un samaksu budžetā.</w:t>
      </w:r>
    </w:p>
    <w:sectPr w:rsidR="00710D15" w:rsidRPr="009F11C3" w:rsidSect="00DC331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52F" w:rsidRDefault="0019352F" w:rsidP="00AC03FC">
      <w:pPr>
        <w:spacing w:after="0" w:line="240" w:lineRule="auto"/>
      </w:pPr>
      <w:r>
        <w:separator/>
      </w:r>
    </w:p>
  </w:endnote>
  <w:endnote w:type="continuationSeparator" w:id="0">
    <w:p w:rsidR="0019352F" w:rsidRDefault="0019352F" w:rsidP="00AC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52F" w:rsidRDefault="0019352F" w:rsidP="00AC03FC">
      <w:pPr>
        <w:spacing w:after="0" w:line="240" w:lineRule="auto"/>
      </w:pPr>
      <w:r>
        <w:separator/>
      </w:r>
    </w:p>
  </w:footnote>
  <w:footnote w:type="continuationSeparator" w:id="0">
    <w:p w:rsidR="0019352F" w:rsidRDefault="0019352F" w:rsidP="00AC03FC">
      <w:pPr>
        <w:spacing w:after="0" w:line="240" w:lineRule="auto"/>
      </w:pPr>
      <w:r>
        <w:continuationSeparator/>
      </w:r>
    </w:p>
  </w:footnote>
  <w:footnote w:id="1">
    <w:p w:rsidR="00AC03FC" w:rsidRDefault="00AC03FC" w:rsidP="00AC03FC">
      <w:pPr>
        <w:pStyle w:val="FootnoteText"/>
      </w:pPr>
      <w:r>
        <w:rPr>
          <w:rStyle w:val="FootnoteReference"/>
        </w:rPr>
        <w:footnoteRef/>
      </w:r>
      <w:r>
        <w:t xml:space="preserve"> Civillikuma 280.pants.</w:t>
      </w:r>
    </w:p>
  </w:footnote>
  <w:footnote w:id="2">
    <w:p w:rsidR="00AC03FC" w:rsidRDefault="00AC03FC" w:rsidP="00AC03FC">
      <w:pPr>
        <w:pStyle w:val="FootnoteText"/>
      </w:pPr>
      <w:r>
        <w:rPr>
          <w:rStyle w:val="FootnoteReference"/>
        </w:rPr>
        <w:footnoteRef/>
      </w:r>
      <w:r>
        <w:t xml:space="preserve"> Bāriņtiesas likuma </w:t>
      </w:r>
      <w:proofErr w:type="gramStart"/>
      <w:r>
        <w:t>4.panta</w:t>
      </w:r>
      <w:proofErr w:type="gramEnd"/>
      <w:r>
        <w:t xml:space="preserve"> otrā daļa.</w:t>
      </w:r>
    </w:p>
  </w:footnote>
  <w:footnote w:id="3">
    <w:p w:rsidR="00AC03FC" w:rsidRDefault="00AC03FC" w:rsidP="00AC03FC">
      <w:pPr>
        <w:pStyle w:val="FootnoteText"/>
      </w:pPr>
      <w:r>
        <w:rPr>
          <w:rStyle w:val="FootnoteReference"/>
        </w:rPr>
        <w:footnoteRef/>
      </w:r>
      <w:r>
        <w:t xml:space="preserve"> Bāriņtiesas likuma </w:t>
      </w:r>
      <w:proofErr w:type="gramStart"/>
      <w:r>
        <w:t>17.panta</w:t>
      </w:r>
      <w:proofErr w:type="gramEnd"/>
      <w:r>
        <w:t xml:space="preserve"> 1.punkts.</w:t>
      </w:r>
    </w:p>
  </w:footnote>
  <w:footnote w:id="4">
    <w:p w:rsidR="00AC03FC" w:rsidRDefault="00AC03FC" w:rsidP="00AC03FC">
      <w:pPr>
        <w:pStyle w:val="FootnoteText"/>
      </w:pPr>
      <w:r>
        <w:rPr>
          <w:rStyle w:val="FootnoteReference"/>
        </w:rPr>
        <w:footnoteRef/>
      </w:r>
      <w:r>
        <w:t xml:space="preserve"> Bāriņtiesas likuma </w:t>
      </w:r>
      <w:proofErr w:type="gramStart"/>
      <w:r>
        <w:t>21.pants</w:t>
      </w:r>
      <w:proofErr w:type="gramEnd"/>
      <w:r>
        <w:t>.</w:t>
      </w:r>
    </w:p>
  </w:footnote>
  <w:footnote w:id="5">
    <w:p w:rsidR="00AC03FC" w:rsidRDefault="00AC03FC" w:rsidP="00AC03FC">
      <w:pPr>
        <w:pStyle w:val="FootnoteText"/>
      </w:pPr>
      <w:r>
        <w:rPr>
          <w:rStyle w:val="FootnoteReference"/>
        </w:rPr>
        <w:footnoteRef/>
      </w:r>
      <w:r>
        <w:t xml:space="preserve"> Bāriņtiesas likuma </w:t>
      </w:r>
      <w:proofErr w:type="gramStart"/>
      <w:r>
        <w:t>31.pants</w:t>
      </w:r>
      <w:proofErr w:type="gramEnd"/>
      <w:r>
        <w:t>.</w:t>
      </w:r>
    </w:p>
  </w:footnote>
  <w:footnote w:id="6">
    <w:p w:rsidR="00AC03FC" w:rsidRDefault="00AC03FC" w:rsidP="00AC03FC">
      <w:pPr>
        <w:pStyle w:val="FootnoteText"/>
      </w:pPr>
      <w:r>
        <w:rPr>
          <w:rStyle w:val="FootnoteReference"/>
        </w:rPr>
        <w:footnoteRef/>
      </w:r>
      <w:r>
        <w:t xml:space="preserve"> Likuma “Par nodokļiem un nodevām” </w:t>
      </w:r>
      <w:proofErr w:type="gramStart"/>
      <w:r>
        <w:t>29.panta</w:t>
      </w:r>
      <w:proofErr w:type="gramEnd"/>
      <w:r>
        <w:t xml:space="preserve"> otrā daļa.</w:t>
      </w:r>
    </w:p>
  </w:footnote>
  <w:footnote w:id="7">
    <w:p w:rsidR="00AC03FC" w:rsidRDefault="00AC03FC" w:rsidP="00AC03FC">
      <w:pPr>
        <w:pStyle w:val="FootnoteText"/>
      </w:pPr>
      <w:r>
        <w:rPr>
          <w:rStyle w:val="FootnoteReference"/>
        </w:rPr>
        <w:footnoteRef/>
      </w:r>
      <w:r>
        <w:t xml:space="preserve"> Civilprocesa likuma 568.panta pirmā daļa.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35"/>
    <w:rsid w:val="00044687"/>
    <w:rsid w:val="0019352F"/>
    <w:rsid w:val="005A1A9F"/>
    <w:rsid w:val="00710D15"/>
    <w:rsid w:val="00877F56"/>
    <w:rsid w:val="009F11C3"/>
    <w:rsid w:val="00AC03FC"/>
    <w:rsid w:val="00B729E0"/>
    <w:rsid w:val="00D7314F"/>
    <w:rsid w:val="00DC3319"/>
    <w:rsid w:val="00E80230"/>
    <w:rsid w:val="00F1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29AD3-119F-4F9D-BD71-BC3C63A0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C03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3F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AC03FC"/>
    <w:rPr>
      <w:vertAlign w:val="superscript"/>
    </w:rPr>
  </w:style>
  <w:style w:type="paragraph" w:customStyle="1" w:styleId="tv213">
    <w:name w:val="tv213"/>
    <w:basedOn w:val="Normal"/>
    <w:rsid w:val="00AC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kumi.lv/doc.php?id=2254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Bluma</dc:creator>
  <cp:keywords/>
  <dc:description/>
  <cp:lastModifiedBy>Aija Bluma</cp:lastModifiedBy>
  <cp:revision>4</cp:revision>
  <cp:lastPrinted>2017-03-17T09:30:00Z</cp:lastPrinted>
  <dcterms:created xsi:type="dcterms:W3CDTF">2017-03-17T09:13:00Z</dcterms:created>
  <dcterms:modified xsi:type="dcterms:W3CDTF">2017-03-23T09:39:00Z</dcterms:modified>
</cp:coreProperties>
</file>