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7.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6A" w:rsidRPr="00175794" w:rsidRDefault="00175794" w:rsidP="00175794">
      <w:pPr>
        <w:jc w:val="center"/>
        <w:rPr>
          <w:rFonts w:ascii="Times New Roman" w:hAnsi="Times New Roman" w:cs="Times New Roman"/>
          <w:b/>
          <w:sz w:val="32"/>
          <w:szCs w:val="32"/>
        </w:rPr>
      </w:pPr>
      <w:r w:rsidRPr="00175794">
        <w:rPr>
          <w:rFonts w:ascii="Times New Roman" w:hAnsi="Times New Roman" w:cs="Times New Roman"/>
          <w:b/>
          <w:sz w:val="32"/>
          <w:szCs w:val="32"/>
        </w:rPr>
        <w:t>Statistikas dati par bāriņtiesu darbu 2014.-2016. gadā</w:t>
      </w:r>
    </w:p>
    <w:tbl>
      <w:tblPr>
        <w:tblStyle w:val="TableGrid"/>
        <w:tblW w:w="0" w:type="auto"/>
        <w:tblLook w:val="04A0" w:firstRow="1" w:lastRow="0" w:firstColumn="1" w:lastColumn="0" w:noHBand="0" w:noVBand="1"/>
      </w:tblPr>
      <w:tblGrid>
        <w:gridCol w:w="9199"/>
        <w:gridCol w:w="1559"/>
        <w:gridCol w:w="2127"/>
        <w:gridCol w:w="1655"/>
      </w:tblGrid>
      <w:tr w:rsidR="00B71CBA" w:rsidTr="00314E6A">
        <w:tc>
          <w:tcPr>
            <w:tcW w:w="9199" w:type="dxa"/>
            <w:tcBorders>
              <w:top w:val="single" w:sz="12" w:space="0" w:color="auto"/>
              <w:left w:val="single" w:sz="12" w:space="0" w:color="auto"/>
              <w:bottom w:val="single" w:sz="12" w:space="0" w:color="auto"/>
              <w:right w:val="single" w:sz="12" w:space="0" w:color="auto"/>
            </w:tcBorders>
          </w:tcPr>
          <w:p w:rsidR="00314E6A" w:rsidRDefault="00314E6A" w:rsidP="00314E6A">
            <w:pPr>
              <w:jc w:val="center"/>
              <w:rPr>
                <w:rFonts w:ascii="Times New Roman" w:hAnsi="Times New Roman" w:cs="Times New Roman"/>
                <w:sz w:val="26"/>
                <w:szCs w:val="26"/>
              </w:rPr>
            </w:pPr>
          </w:p>
          <w:p w:rsidR="00314E6A" w:rsidRDefault="00314E6A" w:rsidP="00314E6A">
            <w:pPr>
              <w:jc w:val="center"/>
              <w:rPr>
                <w:rFonts w:ascii="Times New Roman" w:hAnsi="Times New Roman" w:cs="Times New Roman"/>
                <w:sz w:val="26"/>
                <w:szCs w:val="26"/>
              </w:rPr>
            </w:pPr>
          </w:p>
          <w:p w:rsidR="00314E6A" w:rsidRDefault="00314E6A" w:rsidP="00314E6A">
            <w:pPr>
              <w:jc w:val="center"/>
              <w:rPr>
                <w:rFonts w:ascii="Times New Roman" w:hAnsi="Times New Roman" w:cs="Times New Roman"/>
                <w:sz w:val="26"/>
                <w:szCs w:val="26"/>
              </w:rPr>
            </w:pPr>
          </w:p>
          <w:p w:rsidR="00B71CB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Kritērijs</w:t>
            </w:r>
            <w:r w:rsidR="00523B4E">
              <w:rPr>
                <w:rFonts w:ascii="Times New Roman" w:hAnsi="Times New Roman" w:cs="Times New Roman"/>
                <w:sz w:val="26"/>
                <w:szCs w:val="26"/>
              </w:rPr>
              <w:t xml:space="preserve"> </w:t>
            </w:r>
            <w:r w:rsidR="00523B4E">
              <w:rPr>
                <w:rStyle w:val="FootnoteReference"/>
                <w:rFonts w:ascii="Times New Roman" w:hAnsi="Times New Roman" w:cs="Times New Roman"/>
                <w:sz w:val="26"/>
                <w:szCs w:val="26"/>
              </w:rPr>
              <w:footnoteReference w:id="1"/>
            </w:r>
          </w:p>
        </w:tc>
        <w:tc>
          <w:tcPr>
            <w:tcW w:w="1559" w:type="dxa"/>
            <w:tcBorders>
              <w:top w:val="single" w:sz="12" w:space="0" w:color="auto"/>
              <w:left w:val="single" w:sz="12" w:space="0" w:color="auto"/>
              <w:bottom w:val="single" w:sz="12" w:space="0" w:color="auto"/>
              <w:right w:val="single" w:sz="12" w:space="0" w:color="auto"/>
            </w:tcBorders>
          </w:tcPr>
          <w:p w:rsidR="00B71CBA" w:rsidRPr="00B71CBA" w:rsidRDefault="00B71CBA" w:rsidP="00F21ED3">
            <w:pPr>
              <w:jc w:val="center"/>
              <w:rPr>
                <w:rFonts w:ascii="Times New Roman" w:hAnsi="Times New Roman" w:cs="Times New Roman"/>
                <w:sz w:val="26"/>
                <w:szCs w:val="26"/>
              </w:rPr>
            </w:pPr>
          </w:p>
          <w:p w:rsidR="00314E6A" w:rsidRDefault="00314E6A" w:rsidP="00B71CBA">
            <w:pPr>
              <w:jc w:val="center"/>
              <w:rPr>
                <w:rFonts w:ascii="Times New Roman" w:hAnsi="Times New Roman" w:cs="Times New Roman"/>
                <w:sz w:val="26"/>
                <w:szCs w:val="26"/>
              </w:rPr>
            </w:pPr>
          </w:p>
          <w:p w:rsidR="00314E6A" w:rsidRDefault="00314E6A" w:rsidP="00B71CBA">
            <w:pPr>
              <w:jc w:val="center"/>
              <w:rPr>
                <w:rFonts w:ascii="Times New Roman" w:hAnsi="Times New Roman" w:cs="Times New Roman"/>
                <w:sz w:val="26"/>
                <w:szCs w:val="26"/>
              </w:rPr>
            </w:pPr>
          </w:p>
          <w:p w:rsidR="00B71CBA" w:rsidRPr="00B71CBA" w:rsidRDefault="00B71CBA" w:rsidP="00B71CBA">
            <w:pPr>
              <w:jc w:val="center"/>
              <w:rPr>
                <w:rFonts w:ascii="Times New Roman" w:hAnsi="Times New Roman" w:cs="Times New Roman"/>
                <w:sz w:val="26"/>
                <w:szCs w:val="26"/>
              </w:rPr>
            </w:pPr>
            <w:r w:rsidRPr="00B71CBA">
              <w:rPr>
                <w:rFonts w:ascii="Times New Roman" w:hAnsi="Times New Roman" w:cs="Times New Roman"/>
                <w:sz w:val="26"/>
                <w:szCs w:val="26"/>
              </w:rPr>
              <w:t>Gads</w:t>
            </w:r>
          </w:p>
        </w:tc>
        <w:tc>
          <w:tcPr>
            <w:tcW w:w="2127" w:type="dxa"/>
            <w:tcBorders>
              <w:top w:val="single" w:sz="12" w:space="0" w:color="auto"/>
              <w:left w:val="single" w:sz="12" w:space="0" w:color="auto"/>
              <w:bottom w:val="single" w:sz="12" w:space="0" w:color="auto"/>
              <w:right w:val="single" w:sz="12" w:space="0" w:color="auto"/>
            </w:tcBorders>
          </w:tcPr>
          <w:p w:rsidR="00B71CBA" w:rsidRPr="00B71CBA" w:rsidRDefault="00B71CBA" w:rsidP="00314E6A">
            <w:pPr>
              <w:jc w:val="center"/>
              <w:rPr>
                <w:rFonts w:ascii="Times New Roman" w:hAnsi="Times New Roman" w:cs="Times New Roman"/>
                <w:sz w:val="26"/>
                <w:szCs w:val="26"/>
              </w:rPr>
            </w:pPr>
            <w:r w:rsidRPr="00B71CBA">
              <w:rPr>
                <w:rFonts w:ascii="Times New Roman" w:hAnsi="Times New Roman" w:cs="Times New Roman"/>
                <w:sz w:val="26"/>
                <w:szCs w:val="26"/>
              </w:rPr>
              <w:t>Bāriņtiesu skaits, kuras pieņēmušas lēmumus minētajā kategoriju lietā</w:t>
            </w:r>
            <w:r w:rsidR="008D04F0">
              <w:rPr>
                <w:rFonts w:ascii="Times New Roman" w:hAnsi="Times New Roman" w:cs="Times New Roman"/>
                <w:sz w:val="26"/>
                <w:szCs w:val="26"/>
              </w:rPr>
              <w:t xml:space="preserve"> konkrētajā pārskata gadā</w:t>
            </w:r>
          </w:p>
        </w:tc>
        <w:tc>
          <w:tcPr>
            <w:tcW w:w="1655" w:type="dxa"/>
            <w:tcBorders>
              <w:top w:val="single" w:sz="12" w:space="0" w:color="auto"/>
              <w:left w:val="single" w:sz="12" w:space="0" w:color="auto"/>
              <w:bottom w:val="single" w:sz="12" w:space="0" w:color="auto"/>
              <w:right w:val="single" w:sz="12" w:space="0" w:color="auto"/>
            </w:tcBorders>
          </w:tcPr>
          <w:p w:rsidR="00B71CB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Noteiktā kritērija kopējais rādītājs</w:t>
            </w:r>
            <w:r w:rsidR="00B71CBA" w:rsidRPr="00B71CBA">
              <w:rPr>
                <w:rFonts w:ascii="Times New Roman" w:hAnsi="Times New Roman" w:cs="Times New Roman"/>
                <w:sz w:val="26"/>
                <w:szCs w:val="26"/>
              </w:rPr>
              <w:t xml:space="preserve"> pārskata gadā</w:t>
            </w:r>
          </w:p>
        </w:tc>
      </w:tr>
      <w:tr w:rsidR="00314E6A" w:rsidTr="00314E6A">
        <w:trPr>
          <w:trHeight w:val="180"/>
        </w:trPr>
        <w:tc>
          <w:tcPr>
            <w:tcW w:w="9199" w:type="dxa"/>
            <w:vMerge w:val="restart"/>
            <w:tcBorders>
              <w:top w:val="single" w:sz="12" w:space="0" w:color="auto"/>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r w:rsidRPr="00B71CBA">
              <w:rPr>
                <w:rFonts w:ascii="Times New Roman" w:hAnsi="Times New Roman" w:cs="Times New Roman"/>
                <w:sz w:val="26"/>
                <w:szCs w:val="26"/>
              </w:rPr>
              <w:t>5.3. Bērnu skaits., par kuriem bāriņtiesa pārskata gadā pieņēmusi lēmumu par to, ka adopcija ir bērna interesēs</w:t>
            </w:r>
          </w:p>
        </w:tc>
        <w:tc>
          <w:tcPr>
            <w:tcW w:w="1559" w:type="dxa"/>
            <w:tcBorders>
              <w:top w:val="single" w:sz="12"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2014</w:t>
            </w:r>
            <w:r w:rsidR="002C0032">
              <w:rPr>
                <w:rStyle w:val="FootnoteReference"/>
                <w:rFonts w:ascii="Times New Roman" w:hAnsi="Times New Roman" w:cs="Times New Roman"/>
                <w:sz w:val="26"/>
                <w:szCs w:val="26"/>
              </w:rPr>
              <w:footnoteReference w:id="2"/>
            </w:r>
          </w:p>
        </w:tc>
        <w:tc>
          <w:tcPr>
            <w:tcW w:w="2127" w:type="dxa"/>
            <w:tcBorders>
              <w:top w:val="single" w:sz="12" w:space="0" w:color="auto"/>
              <w:left w:val="single" w:sz="12" w:space="0" w:color="auto"/>
              <w:bottom w:val="dashed" w:sz="4" w:space="0" w:color="auto"/>
              <w:right w:val="single" w:sz="12" w:space="0" w:color="auto"/>
            </w:tcBorders>
          </w:tcPr>
          <w:p w:rsidR="00314E6A" w:rsidRPr="00B71CBA" w:rsidRDefault="009F0711" w:rsidP="00314E6A">
            <w:pPr>
              <w:jc w:val="center"/>
              <w:rPr>
                <w:rFonts w:ascii="Times New Roman" w:hAnsi="Times New Roman" w:cs="Times New Roman"/>
                <w:sz w:val="26"/>
                <w:szCs w:val="26"/>
              </w:rPr>
            </w:pPr>
            <w:r>
              <w:rPr>
                <w:rFonts w:ascii="Times New Roman" w:hAnsi="Times New Roman" w:cs="Times New Roman"/>
                <w:sz w:val="26"/>
                <w:szCs w:val="26"/>
              </w:rPr>
              <w:t>71</w:t>
            </w:r>
          </w:p>
        </w:tc>
        <w:tc>
          <w:tcPr>
            <w:tcW w:w="1655" w:type="dxa"/>
            <w:tcBorders>
              <w:top w:val="single" w:sz="12" w:space="0" w:color="auto"/>
              <w:left w:val="single" w:sz="12" w:space="0" w:color="auto"/>
              <w:bottom w:val="dashed" w:sz="4" w:space="0" w:color="auto"/>
              <w:right w:val="single" w:sz="12" w:space="0" w:color="auto"/>
            </w:tcBorders>
          </w:tcPr>
          <w:p w:rsidR="00314E6A" w:rsidRPr="00B71CBA" w:rsidRDefault="008D04F0" w:rsidP="00314E6A">
            <w:pPr>
              <w:jc w:val="center"/>
              <w:rPr>
                <w:rFonts w:ascii="Times New Roman" w:hAnsi="Times New Roman" w:cs="Times New Roman"/>
                <w:sz w:val="26"/>
                <w:szCs w:val="26"/>
              </w:rPr>
            </w:pPr>
            <w:r>
              <w:rPr>
                <w:rFonts w:ascii="Times New Roman" w:hAnsi="Times New Roman" w:cs="Times New Roman"/>
                <w:sz w:val="26"/>
                <w:szCs w:val="26"/>
              </w:rPr>
              <w:t>372</w:t>
            </w:r>
          </w:p>
        </w:tc>
      </w:tr>
      <w:tr w:rsidR="00314E6A" w:rsidTr="00314E6A">
        <w:trPr>
          <w:trHeight w:val="150"/>
        </w:trPr>
        <w:tc>
          <w:tcPr>
            <w:tcW w:w="9199" w:type="dxa"/>
            <w:vMerge/>
            <w:tcBorders>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2015</w:t>
            </w:r>
            <w:r w:rsidR="002C0032">
              <w:rPr>
                <w:rStyle w:val="FootnoteReference"/>
                <w:rFonts w:ascii="Times New Roman" w:hAnsi="Times New Roman" w:cs="Times New Roman"/>
                <w:sz w:val="26"/>
                <w:szCs w:val="26"/>
              </w:rPr>
              <w:footnoteReference w:id="3"/>
            </w:r>
          </w:p>
        </w:tc>
        <w:tc>
          <w:tcPr>
            <w:tcW w:w="2127" w:type="dxa"/>
            <w:tcBorders>
              <w:top w:val="dashed" w:sz="4" w:space="0" w:color="auto"/>
              <w:left w:val="single" w:sz="12" w:space="0" w:color="auto"/>
              <w:bottom w:val="dashed" w:sz="4" w:space="0" w:color="auto"/>
              <w:right w:val="single" w:sz="12" w:space="0" w:color="auto"/>
            </w:tcBorders>
          </w:tcPr>
          <w:p w:rsidR="00314E6A" w:rsidRPr="00B71CBA" w:rsidRDefault="009F0711" w:rsidP="00314E6A">
            <w:pPr>
              <w:jc w:val="center"/>
              <w:rPr>
                <w:rFonts w:ascii="Times New Roman" w:hAnsi="Times New Roman" w:cs="Times New Roman"/>
                <w:sz w:val="26"/>
                <w:szCs w:val="26"/>
              </w:rPr>
            </w:pPr>
            <w:r>
              <w:rPr>
                <w:rFonts w:ascii="Times New Roman" w:hAnsi="Times New Roman" w:cs="Times New Roman"/>
                <w:sz w:val="26"/>
                <w:szCs w:val="26"/>
              </w:rPr>
              <w:t>75</w:t>
            </w:r>
          </w:p>
        </w:tc>
        <w:tc>
          <w:tcPr>
            <w:tcW w:w="1655" w:type="dxa"/>
            <w:tcBorders>
              <w:top w:val="dashed" w:sz="4" w:space="0" w:color="auto"/>
              <w:left w:val="single" w:sz="12" w:space="0" w:color="auto"/>
              <w:bottom w:val="dashed" w:sz="4" w:space="0" w:color="auto"/>
              <w:right w:val="single" w:sz="12" w:space="0" w:color="auto"/>
            </w:tcBorders>
          </w:tcPr>
          <w:p w:rsidR="00314E6A" w:rsidRPr="00B71CBA" w:rsidRDefault="00CA4ED0" w:rsidP="00314E6A">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59264" behindDoc="0" locked="0" layoutInCell="1" allowOverlap="1">
                      <wp:simplePos x="0" y="0"/>
                      <wp:positionH relativeFrom="column">
                        <wp:posOffset>754380</wp:posOffset>
                      </wp:positionH>
                      <wp:positionV relativeFrom="paragraph">
                        <wp:posOffset>-74930</wp:posOffset>
                      </wp:positionV>
                      <wp:extent cx="9525" cy="409575"/>
                      <wp:effectExtent l="38100" t="0" r="66675" b="47625"/>
                      <wp:wrapNone/>
                      <wp:docPr id="1" name="Straight Arrow Connector 1"/>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ACA43ED" id="_x0000_t32" coordsize="21600,21600" o:spt="32" o:oned="t" path="m,l21600,21600e" filled="f">
                      <v:path arrowok="t" fillok="f" o:connecttype="none"/>
                      <o:lock v:ext="edit" shapetype="t"/>
                    </v:shapetype>
                    <v:shape id="Straight Arrow Connector 1" o:spid="_x0000_s1026" type="#_x0000_t32" style="position:absolute;margin-left:59.4pt;margin-top:-5.9pt;width:.75pt;height:3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" strokecolor="black [3213]" strokeweight=".5pt">
                      <v:stroke endarrow="block" joinstyle="miter"/>
                    </v:shape>
                  </w:pict>
                </mc:Fallback>
              </mc:AlternateContent>
            </w:r>
            <w:r w:rsidR="008D04F0">
              <w:rPr>
                <w:rFonts w:ascii="Times New Roman" w:hAnsi="Times New Roman" w:cs="Times New Roman"/>
                <w:sz w:val="26"/>
                <w:szCs w:val="26"/>
              </w:rPr>
              <w:t>337</w:t>
            </w:r>
          </w:p>
        </w:tc>
      </w:tr>
      <w:tr w:rsidR="00314E6A" w:rsidTr="00314E6A">
        <w:trPr>
          <w:trHeight w:val="135"/>
        </w:trPr>
        <w:tc>
          <w:tcPr>
            <w:tcW w:w="9199" w:type="dxa"/>
            <w:vMerge/>
            <w:tcBorders>
              <w:left w:val="single" w:sz="12" w:space="0" w:color="auto"/>
              <w:bottom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314E6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2016</w:t>
            </w:r>
            <w:r w:rsidR="002C0032">
              <w:rPr>
                <w:rStyle w:val="FootnoteReference"/>
                <w:rFonts w:ascii="Times New Roman" w:hAnsi="Times New Roman" w:cs="Times New Roman"/>
                <w:sz w:val="26"/>
                <w:szCs w:val="26"/>
              </w:rPr>
              <w:footnoteReference w:id="4"/>
            </w:r>
          </w:p>
          <w:p w:rsidR="002C0032" w:rsidRPr="00B71CBA" w:rsidRDefault="002C0032" w:rsidP="00314E6A">
            <w:pPr>
              <w:jc w:val="center"/>
              <w:rPr>
                <w:rFonts w:ascii="Times New Roman" w:hAnsi="Times New Roman" w:cs="Times New Roman"/>
                <w:sz w:val="26"/>
                <w:szCs w:val="26"/>
              </w:rPr>
            </w:pPr>
          </w:p>
        </w:tc>
        <w:tc>
          <w:tcPr>
            <w:tcW w:w="2127" w:type="dxa"/>
            <w:tcBorders>
              <w:top w:val="dashed" w:sz="4" w:space="0" w:color="auto"/>
              <w:left w:val="single" w:sz="12" w:space="0" w:color="auto"/>
              <w:bottom w:val="single" w:sz="12" w:space="0" w:color="auto"/>
              <w:right w:val="single" w:sz="12" w:space="0" w:color="auto"/>
            </w:tcBorders>
          </w:tcPr>
          <w:p w:rsidR="00314E6A" w:rsidRPr="00B71CBA" w:rsidRDefault="009F0711" w:rsidP="00314E6A">
            <w:pPr>
              <w:jc w:val="center"/>
              <w:rPr>
                <w:rFonts w:ascii="Times New Roman" w:hAnsi="Times New Roman" w:cs="Times New Roman"/>
                <w:sz w:val="26"/>
                <w:szCs w:val="26"/>
              </w:rPr>
            </w:pPr>
            <w:r>
              <w:rPr>
                <w:rFonts w:ascii="Times New Roman" w:hAnsi="Times New Roman" w:cs="Times New Roman"/>
                <w:sz w:val="26"/>
                <w:szCs w:val="26"/>
              </w:rPr>
              <w:t>66</w:t>
            </w:r>
          </w:p>
        </w:tc>
        <w:tc>
          <w:tcPr>
            <w:tcW w:w="1655" w:type="dxa"/>
            <w:tcBorders>
              <w:top w:val="dashed" w:sz="4" w:space="0" w:color="auto"/>
              <w:left w:val="single" w:sz="12" w:space="0" w:color="auto"/>
              <w:bottom w:val="single" w:sz="12" w:space="0" w:color="auto"/>
              <w:right w:val="single" w:sz="12" w:space="0" w:color="auto"/>
            </w:tcBorders>
          </w:tcPr>
          <w:p w:rsidR="00314E6A" w:rsidRPr="00B71CBA" w:rsidRDefault="008D04F0" w:rsidP="00314E6A">
            <w:pPr>
              <w:jc w:val="center"/>
              <w:rPr>
                <w:rFonts w:ascii="Times New Roman" w:hAnsi="Times New Roman" w:cs="Times New Roman"/>
                <w:sz w:val="26"/>
                <w:szCs w:val="26"/>
              </w:rPr>
            </w:pPr>
            <w:r>
              <w:rPr>
                <w:rFonts w:ascii="Times New Roman" w:hAnsi="Times New Roman" w:cs="Times New Roman"/>
                <w:sz w:val="26"/>
                <w:szCs w:val="26"/>
              </w:rPr>
              <w:t>288</w:t>
            </w:r>
          </w:p>
        </w:tc>
      </w:tr>
      <w:tr w:rsidR="00314E6A" w:rsidTr="00314E6A">
        <w:trPr>
          <w:trHeight w:val="180"/>
        </w:trPr>
        <w:tc>
          <w:tcPr>
            <w:tcW w:w="9199" w:type="dxa"/>
            <w:vMerge w:val="restart"/>
            <w:tcBorders>
              <w:top w:val="single" w:sz="12" w:space="0" w:color="auto"/>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r w:rsidRPr="00B71CBA">
              <w:rPr>
                <w:rFonts w:ascii="Times New Roman" w:hAnsi="Times New Roman" w:cs="Times New Roman"/>
                <w:sz w:val="26"/>
                <w:szCs w:val="26"/>
              </w:rPr>
              <w:t xml:space="preserve">7.1. Bērnu skaits, par kuriem bāriņtiesa pieņēmusi lēmumu par bērna vārda, uzvārda, vai tautības ieraksta maiņu </w:t>
            </w:r>
          </w:p>
        </w:tc>
        <w:tc>
          <w:tcPr>
            <w:tcW w:w="1559" w:type="dxa"/>
            <w:tcBorders>
              <w:top w:val="single" w:sz="12"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314E6A" w:rsidRPr="00B71CBA" w:rsidRDefault="00DF0DB1" w:rsidP="00314E6A">
            <w:pPr>
              <w:jc w:val="center"/>
              <w:rPr>
                <w:rFonts w:ascii="Times New Roman" w:hAnsi="Times New Roman" w:cs="Times New Roman"/>
                <w:sz w:val="26"/>
                <w:szCs w:val="26"/>
              </w:rPr>
            </w:pPr>
            <w:r>
              <w:rPr>
                <w:rFonts w:ascii="Times New Roman" w:hAnsi="Times New Roman" w:cs="Times New Roman"/>
                <w:sz w:val="26"/>
                <w:szCs w:val="26"/>
              </w:rPr>
              <w:t>27</w:t>
            </w:r>
          </w:p>
        </w:tc>
        <w:tc>
          <w:tcPr>
            <w:tcW w:w="1655" w:type="dxa"/>
            <w:tcBorders>
              <w:top w:val="single" w:sz="12" w:space="0" w:color="auto"/>
              <w:left w:val="single" w:sz="12" w:space="0" w:color="auto"/>
              <w:bottom w:val="dashed" w:sz="4" w:space="0" w:color="auto"/>
              <w:right w:val="single" w:sz="12" w:space="0" w:color="auto"/>
            </w:tcBorders>
          </w:tcPr>
          <w:p w:rsidR="00314E6A" w:rsidRPr="00B71CBA" w:rsidRDefault="008D04F0" w:rsidP="00314E6A">
            <w:pPr>
              <w:jc w:val="center"/>
              <w:rPr>
                <w:rFonts w:ascii="Times New Roman" w:hAnsi="Times New Roman" w:cs="Times New Roman"/>
                <w:sz w:val="26"/>
                <w:szCs w:val="26"/>
              </w:rPr>
            </w:pPr>
            <w:r>
              <w:rPr>
                <w:rFonts w:ascii="Times New Roman" w:hAnsi="Times New Roman" w:cs="Times New Roman"/>
                <w:sz w:val="26"/>
                <w:szCs w:val="26"/>
              </w:rPr>
              <w:t>68</w:t>
            </w:r>
          </w:p>
        </w:tc>
      </w:tr>
      <w:tr w:rsidR="00314E6A" w:rsidTr="00314E6A">
        <w:trPr>
          <w:trHeight w:val="135"/>
        </w:trPr>
        <w:tc>
          <w:tcPr>
            <w:tcW w:w="9199" w:type="dxa"/>
            <w:vMerge/>
            <w:tcBorders>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314E6A" w:rsidRPr="00B71CBA" w:rsidRDefault="00DF0DB1" w:rsidP="00314E6A">
            <w:pPr>
              <w:jc w:val="center"/>
              <w:rPr>
                <w:rFonts w:ascii="Times New Roman" w:hAnsi="Times New Roman" w:cs="Times New Roman"/>
                <w:sz w:val="26"/>
                <w:szCs w:val="26"/>
              </w:rPr>
            </w:pPr>
            <w:r>
              <w:rPr>
                <w:rFonts w:ascii="Times New Roman" w:hAnsi="Times New Roman" w:cs="Times New Roman"/>
                <w:sz w:val="26"/>
                <w:szCs w:val="26"/>
              </w:rPr>
              <w:t>32</w:t>
            </w:r>
          </w:p>
        </w:tc>
        <w:tc>
          <w:tcPr>
            <w:tcW w:w="1655" w:type="dxa"/>
            <w:tcBorders>
              <w:top w:val="dashed" w:sz="4" w:space="0" w:color="auto"/>
              <w:left w:val="single" w:sz="12" w:space="0" w:color="auto"/>
              <w:bottom w:val="dashed" w:sz="4" w:space="0" w:color="auto"/>
              <w:right w:val="single" w:sz="12" w:space="0" w:color="auto"/>
            </w:tcBorders>
          </w:tcPr>
          <w:p w:rsidR="00314E6A" w:rsidRPr="00B71CBA" w:rsidRDefault="00CA4ED0" w:rsidP="00314E6A">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-75565</wp:posOffset>
                      </wp:positionV>
                      <wp:extent cx="0" cy="428625"/>
                      <wp:effectExtent l="76200" t="38100" r="57150" b="9525"/>
                      <wp:wrapNone/>
                      <wp:docPr id="2" name="Straight Arrow Connector 2"/>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72D7FA" id="Straight Arrow Connector 2" o:spid="_x0000_s1026" type="#_x0000_t32" style="position:absolute;margin-left:60.9pt;margin-top:-5.95pt;width:0;height:33.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" strokecolor="black [3213]" strokeweight=".5pt">
                      <v:stroke endarrow="block" joinstyle="miter"/>
                    </v:shape>
                  </w:pict>
                </mc:Fallback>
              </mc:AlternateContent>
            </w:r>
            <w:r w:rsidR="008D04F0">
              <w:rPr>
                <w:rFonts w:ascii="Times New Roman" w:hAnsi="Times New Roman" w:cs="Times New Roman"/>
                <w:sz w:val="26"/>
                <w:szCs w:val="26"/>
              </w:rPr>
              <w:t>91</w:t>
            </w:r>
          </w:p>
        </w:tc>
      </w:tr>
      <w:tr w:rsidR="00314E6A" w:rsidTr="00314E6A">
        <w:trPr>
          <w:trHeight w:val="150"/>
        </w:trPr>
        <w:tc>
          <w:tcPr>
            <w:tcW w:w="9199" w:type="dxa"/>
            <w:vMerge/>
            <w:tcBorders>
              <w:left w:val="single" w:sz="12" w:space="0" w:color="auto"/>
              <w:bottom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314E6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2016</w:t>
            </w:r>
          </w:p>
          <w:p w:rsidR="002C0032" w:rsidRPr="00B71CBA" w:rsidRDefault="002C0032" w:rsidP="00314E6A">
            <w:pPr>
              <w:jc w:val="center"/>
              <w:rPr>
                <w:rFonts w:ascii="Times New Roman" w:hAnsi="Times New Roman" w:cs="Times New Roman"/>
                <w:sz w:val="26"/>
                <w:szCs w:val="26"/>
              </w:rPr>
            </w:pPr>
          </w:p>
        </w:tc>
        <w:tc>
          <w:tcPr>
            <w:tcW w:w="2127" w:type="dxa"/>
            <w:tcBorders>
              <w:top w:val="dashed" w:sz="4" w:space="0" w:color="auto"/>
              <w:left w:val="single" w:sz="12" w:space="0" w:color="auto"/>
              <w:bottom w:val="single" w:sz="12" w:space="0" w:color="auto"/>
              <w:right w:val="single" w:sz="12" w:space="0" w:color="auto"/>
            </w:tcBorders>
          </w:tcPr>
          <w:p w:rsidR="00314E6A" w:rsidRPr="00B71CBA" w:rsidRDefault="00DF0DB1" w:rsidP="00314E6A">
            <w:pPr>
              <w:jc w:val="center"/>
              <w:rPr>
                <w:rFonts w:ascii="Times New Roman" w:hAnsi="Times New Roman" w:cs="Times New Roman"/>
                <w:sz w:val="26"/>
                <w:szCs w:val="26"/>
              </w:rPr>
            </w:pPr>
            <w:r>
              <w:rPr>
                <w:rFonts w:ascii="Times New Roman" w:hAnsi="Times New Roman" w:cs="Times New Roman"/>
                <w:sz w:val="26"/>
                <w:szCs w:val="26"/>
              </w:rPr>
              <w:t>30</w:t>
            </w:r>
          </w:p>
        </w:tc>
        <w:tc>
          <w:tcPr>
            <w:tcW w:w="1655" w:type="dxa"/>
            <w:tcBorders>
              <w:top w:val="dashed" w:sz="4" w:space="0" w:color="auto"/>
              <w:left w:val="single" w:sz="12" w:space="0" w:color="auto"/>
              <w:bottom w:val="single" w:sz="12" w:space="0" w:color="auto"/>
              <w:right w:val="single" w:sz="12" w:space="0" w:color="auto"/>
            </w:tcBorders>
          </w:tcPr>
          <w:p w:rsidR="00314E6A" w:rsidRPr="00B71CBA" w:rsidRDefault="008D04F0" w:rsidP="00314E6A">
            <w:pPr>
              <w:jc w:val="center"/>
              <w:rPr>
                <w:rFonts w:ascii="Times New Roman" w:hAnsi="Times New Roman" w:cs="Times New Roman"/>
                <w:sz w:val="26"/>
                <w:szCs w:val="26"/>
              </w:rPr>
            </w:pPr>
            <w:r>
              <w:rPr>
                <w:rFonts w:ascii="Times New Roman" w:hAnsi="Times New Roman" w:cs="Times New Roman"/>
                <w:sz w:val="26"/>
                <w:szCs w:val="26"/>
              </w:rPr>
              <w:t>119</w:t>
            </w:r>
          </w:p>
        </w:tc>
      </w:tr>
      <w:tr w:rsidR="00314E6A" w:rsidTr="00314E6A">
        <w:trPr>
          <w:trHeight w:val="180"/>
        </w:trPr>
        <w:tc>
          <w:tcPr>
            <w:tcW w:w="9199" w:type="dxa"/>
            <w:vMerge w:val="restart"/>
            <w:tcBorders>
              <w:top w:val="single" w:sz="12" w:space="0" w:color="auto"/>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r w:rsidRPr="00B71CBA">
              <w:rPr>
                <w:rFonts w:ascii="Times New Roman" w:hAnsi="Times New Roman" w:cs="Times New Roman"/>
                <w:sz w:val="26"/>
                <w:szCs w:val="26"/>
              </w:rPr>
              <w:t>7.2. Bērnu skaits, par kuriem pēc tiesas pieprasījuma bāriņtiesa sniegusi atzinumu par bērna aizgādības tiesību noteikšanu un saskarsmes tiesības izmantošanu</w:t>
            </w:r>
          </w:p>
        </w:tc>
        <w:tc>
          <w:tcPr>
            <w:tcW w:w="1559" w:type="dxa"/>
            <w:tcBorders>
              <w:top w:val="single" w:sz="12"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314E6A" w:rsidRPr="00B71CBA" w:rsidRDefault="00270EB8" w:rsidP="00314E6A">
            <w:pPr>
              <w:jc w:val="center"/>
              <w:rPr>
                <w:rFonts w:ascii="Times New Roman" w:hAnsi="Times New Roman" w:cs="Times New Roman"/>
                <w:sz w:val="26"/>
                <w:szCs w:val="26"/>
              </w:rPr>
            </w:pPr>
            <w:r>
              <w:rPr>
                <w:rFonts w:ascii="Times New Roman" w:hAnsi="Times New Roman" w:cs="Times New Roman"/>
                <w:sz w:val="26"/>
                <w:szCs w:val="26"/>
              </w:rPr>
              <w:t>93</w:t>
            </w:r>
          </w:p>
        </w:tc>
        <w:tc>
          <w:tcPr>
            <w:tcW w:w="1655" w:type="dxa"/>
            <w:tcBorders>
              <w:top w:val="single" w:sz="12" w:space="0" w:color="auto"/>
              <w:left w:val="single" w:sz="12" w:space="0" w:color="auto"/>
              <w:bottom w:val="dashed" w:sz="4" w:space="0" w:color="auto"/>
              <w:right w:val="single" w:sz="12" w:space="0" w:color="auto"/>
            </w:tcBorders>
          </w:tcPr>
          <w:p w:rsidR="00314E6A" w:rsidRPr="00B71CBA" w:rsidRDefault="0039125A" w:rsidP="00314E6A">
            <w:pPr>
              <w:jc w:val="center"/>
              <w:rPr>
                <w:rFonts w:ascii="Times New Roman" w:hAnsi="Times New Roman" w:cs="Times New Roman"/>
                <w:sz w:val="26"/>
                <w:szCs w:val="26"/>
              </w:rPr>
            </w:pPr>
            <w:r>
              <w:rPr>
                <w:rFonts w:ascii="Times New Roman" w:hAnsi="Times New Roman" w:cs="Times New Roman"/>
                <w:sz w:val="26"/>
                <w:szCs w:val="26"/>
              </w:rPr>
              <w:t>824</w:t>
            </w:r>
          </w:p>
        </w:tc>
      </w:tr>
      <w:tr w:rsidR="00314E6A" w:rsidTr="00314E6A">
        <w:trPr>
          <w:trHeight w:val="120"/>
        </w:trPr>
        <w:tc>
          <w:tcPr>
            <w:tcW w:w="9199" w:type="dxa"/>
            <w:vMerge/>
            <w:tcBorders>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314E6A" w:rsidRPr="00B71CBA" w:rsidRDefault="00270EB8" w:rsidP="00314E6A">
            <w:pPr>
              <w:jc w:val="center"/>
              <w:rPr>
                <w:rFonts w:ascii="Times New Roman" w:hAnsi="Times New Roman" w:cs="Times New Roman"/>
                <w:sz w:val="26"/>
                <w:szCs w:val="26"/>
              </w:rPr>
            </w:pPr>
            <w:r>
              <w:rPr>
                <w:rFonts w:ascii="Times New Roman" w:hAnsi="Times New Roman" w:cs="Times New Roman"/>
                <w:sz w:val="26"/>
                <w:szCs w:val="26"/>
              </w:rPr>
              <w:t>104</w:t>
            </w:r>
          </w:p>
        </w:tc>
        <w:tc>
          <w:tcPr>
            <w:tcW w:w="1655" w:type="dxa"/>
            <w:tcBorders>
              <w:top w:val="dashed" w:sz="4" w:space="0" w:color="auto"/>
              <w:left w:val="single" w:sz="12" w:space="0" w:color="auto"/>
              <w:bottom w:val="dashed" w:sz="4" w:space="0" w:color="auto"/>
              <w:right w:val="single" w:sz="12" w:space="0" w:color="auto"/>
            </w:tcBorders>
          </w:tcPr>
          <w:p w:rsidR="00314E6A" w:rsidRPr="00B71CBA" w:rsidRDefault="002C0032" w:rsidP="00314E6A">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74624" behindDoc="0" locked="0" layoutInCell="1" allowOverlap="1" wp14:anchorId="62AB20B8" wp14:editId="5A1316F2">
                      <wp:simplePos x="0" y="0"/>
                      <wp:positionH relativeFrom="column">
                        <wp:posOffset>762000</wp:posOffset>
                      </wp:positionH>
                      <wp:positionV relativeFrom="paragraph">
                        <wp:posOffset>-64135</wp:posOffset>
                      </wp:positionV>
                      <wp:extent cx="9525" cy="409575"/>
                      <wp:effectExtent l="38100" t="0" r="66675" b="47625"/>
                      <wp:wrapNone/>
                      <wp:docPr id="15" name="Straight Arrow Connector 15"/>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ED7C06" id="_x0000_t32" coordsize="21600,21600" o:spt="32" o:oned="t" path="m,l21600,21600e" filled="f">
                      <v:path arrowok="t" fillok="f" o:connecttype="none"/>
                      <o:lock v:ext="edit" shapetype="t"/>
                    </v:shapetype>
                    <v:shape id="Straight Arrow Connector 15" o:spid="_x0000_s1026" type="#_x0000_t32" style="position:absolute;margin-left:60pt;margin-top:-5.05pt;width:.75pt;height:32.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" strokecolor="black [3213]" strokeweight=".5pt">
                      <v:stroke endarrow="block" joinstyle="miter"/>
                    </v:shape>
                  </w:pict>
                </mc:Fallback>
              </mc:AlternateContent>
            </w:r>
            <w:r w:rsidR="0039125A">
              <w:rPr>
                <w:rFonts w:ascii="Times New Roman" w:hAnsi="Times New Roman" w:cs="Times New Roman"/>
                <w:sz w:val="26"/>
                <w:szCs w:val="26"/>
              </w:rPr>
              <w:t>797</w:t>
            </w:r>
          </w:p>
        </w:tc>
      </w:tr>
      <w:tr w:rsidR="00314E6A" w:rsidTr="00314E6A">
        <w:trPr>
          <w:trHeight w:val="165"/>
        </w:trPr>
        <w:tc>
          <w:tcPr>
            <w:tcW w:w="9199" w:type="dxa"/>
            <w:vMerge/>
            <w:tcBorders>
              <w:left w:val="single" w:sz="12" w:space="0" w:color="auto"/>
              <w:bottom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314E6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2016</w:t>
            </w:r>
          </w:p>
          <w:p w:rsidR="002C0032" w:rsidRPr="00B71CBA" w:rsidRDefault="002C0032" w:rsidP="00314E6A">
            <w:pPr>
              <w:jc w:val="center"/>
              <w:rPr>
                <w:rFonts w:ascii="Times New Roman" w:hAnsi="Times New Roman" w:cs="Times New Roman"/>
                <w:sz w:val="26"/>
                <w:szCs w:val="26"/>
              </w:rPr>
            </w:pPr>
          </w:p>
        </w:tc>
        <w:tc>
          <w:tcPr>
            <w:tcW w:w="2127" w:type="dxa"/>
            <w:tcBorders>
              <w:top w:val="dashed" w:sz="4" w:space="0" w:color="auto"/>
              <w:left w:val="single" w:sz="12" w:space="0" w:color="auto"/>
              <w:bottom w:val="single" w:sz="12" w:space="0" w:color="auto"/>
              <w:right w:val="single" w:sz="12" w:space="0" w:color="auto"/>
            </w:tcBorders>
          </w:tcPr>
          <w:p w:rsidR="00314E6A" w:rsidRPr="00B71CBA" w:rsidRDefault="00270EB8" w:rsidP="00314E6A">
            <w:pPr>
              <w:jc w:val="center"/>
              <w:rPr>
                <w:rFonts w:ascii="Times New Roman" w:hAnsi="Times New Roman" w:cs="Times New Roman"/>
                <w:sz w:val="26"/>
                <w:szCs w:val="26"/>
              </w:rPr>
            </w:pPr>
            <w:r>
              <w:rPr>
                <w:rFonts w:ascii="Times New Roman" w:hAnsi="Times New Roman" w:cs="Times New Roman"/>
                <w:sz w:val="26"/>
                <w:szCs w:val="26"/>
              </w:rPr>
              <w:t>96</w:t>
            </w:r>
          </w:p>
        </w:tc>
        <w:tc>
          <w:tcPr>
            <w:tcW w:w="1655" w:type="dxa"/>
            <w:tcBorders>
              <w:top w:val="dashed" w:sz="4" w:space="0" w:color="auto"/>
              <w:left w:val="single" w:sz="12" w:space="0" w:color="auto"/>
              <w:bottom w:val="single" w:sz="12" w:space="0" w:color="auto"/>
              <w:right w:val="single" w:sz="12" w:space="0" w:color="auto"/>
            </w:tcBorders>
          </w:tcPr>
          <w:p w:rsidR="00314E6A" w:rsidRPr="00B71CBA" w:rsidRDefault="0039125A" w:rsidP="00314E6A">
            <w:pPr>
              <w:jc w:val="center"/>
              <w:rPr>
                <w:rFonts w:ascii="Times New Roman" w:hAnsi="Times New Roman" w:cs="Times New Roman"/>
                <w:sz w:val="26"/>
                <w:szCs w:val="26"/>
              </w:rPr>
            </w:pPr>
            <w:r>
              <w:rPr>
                <w:rFonts w:ascii="Times New Roman" w:hAnsi="Times New Roman" w:cs="Times New Roman"/>
                <w:sz w:val="26"/>
                <w:szCs w:val="26"/>
              </w:rPr>
              <w:t>800</w:t>
            </w:r>
          </w:p>
        </w:tc>
      </w:tr>
      <w:tr w:rsidR="00314E6A" w:rsidTr="00314E6A">
        <w:trPr>
          <w:trHeight w:val="225"/>
        </w:trPr>
        <w:tc>
          <w:tcPr>
            <w:tcW w:w="9199" w:type="dxa"/>
            <w:vMerge w:val="restart"/>
            <w:tcBorders>
              <w:top w:val="single" w:sz="12" w:space="0" w:color="auto"/>
              <w:left w:val="single" w:sz="12" w:space="0" w:color="auto"/>
              <w:right w:val="single" w:sz="12" w:space="0" w:color="auto"/>
            </w:tcBorders>
          </w:tcPr>
          <w:p w:rsidR="002C0032" w:rsidRDefault="00314E6A" w:rsidP="00314E6A">
            <w:pPr>
              <w:jc w:val="both"/>
              <w:rPr>
                <w:rFonts w:ascii="Times New Roman" w:hAnsi="Times New Roman" w:cs="Times New Roman"/>
                <w:sz w:val="26"/>
                <w:szCs w:val="26"/>
              </w:rPr>
            </w:pPr>
            <w:r w:rsidRPr="00B71CBA">
              <w:rPr>
                <w:rFonts w:ascii="Times New Roman" w:hAnsi="Times New Roman" w:cs="Times New Roman"/>
                <w:sz w:val="26"/>
                <w:szCs w:val="26"/>
              </w:rPr>
              <w:t>7.3. Bērnu skaits, par kuriem bāriņtiesa pieņēmusi lēmumu par valsts sociālo pabalstu, apgādnieku zaudējuma pensijas un atbalsta ar celiakiju slimiem bērniem, kuriem nav noteikta invaliditāte, izmaksāšanu personai, kura faktiski audzina bērnu, vai izmaksāšanu pašam bērnam, ja viņš sasniedzis 15 g</w:t>
            </w:r>
          </w:p>
          <w:p w:rsidR="00314E6A" w:rsidRPr="00B71CBA" w:rsidRDefault="00314E6A" w:rsidP="00314E6A">
            <w:pPr>
              <w:jc w:val="both"/>
              <w:rPr>
                <w:rFonts w:ascii="Times New Roman" w:hAnsi="Times New Roman" w:cs="Times New Roman"/>
                <w:sz w:val="26"/>
                <w:szCs w:val="26"/>
              </w:rPr>
            </w:pPr>
            <w:r w:rsidRPr="00B71CBA">
              <w:rPr>
                <w:rFonts w:ascii="Times New Roman" w:hAnsi="Times New Roman" w:cs="Times New Roman"/>
                <w:sz w:val="26"/>
                <w:szCs w:val="26"/>
              </w:rPr>
              <w:t>adu vecumu</w:t>
            </w:r>
            <w:r w:rsidR="00516DF2">
              <w:rPr>
                <w:rFonts w:ascii="Times New Roman" w:hAnsi="Times New Roman" w:cs="Times New Roman"/>
                <w:sz w:val="26"/>
                <w:szCs w:val="26"/>
              </w:rPr>
              <w:t xml:space="preserve"> </w:t>
            </w:r>
          </w:p>
        </w:tc>
        <w:tc>
          <w:tcPr>
            <w:tcW w:w="1559" w:type="dxa"/>
            <w:tcBorders>
              <w:top w:val="single" w:sz="12"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314E6A" w:rsidRPr="00B71CBA" w:rsidRDefault="00E54248" w:rsidP="00314E6A">
            <w:pPr>
              <w:jc w:val="center"/>
              <w:rPr>
                <w:rFonts w:ascii="Times New Roman" w:hAnsi="Times New Roman" w:cs="Times New Roman"/>
                <w:sz w:val="26"/>
                <w:szCs w:val="26"/>
              </w:rPr>
            </w:pPr>
            <w:r>
              <w:rPr>
                <w:rFonts w:ascii="Times New Roman" w:hAnsi="Times New Roman" w:cs="Times New Roman"/>
                <w:sz w:val="26"/>
                <w:szCs w:val="26"/>
              </w:rPr>
              <w:t>95</w:t>
            </w:r>
          </w:p>
        </w:tc>
        <w:tc>
          <w:tcPr>
            <w:tcW w:w="1655" w:type="dxa"/>
            <w:tcBorders>
              <w:top w:val="single" w:sz="12" w:space="0" w:color="auto"/>
              <w:left w:val="single" w:sz="12" w:space="0" w:color="auto"/>
              <w:bottom w:val="dashed" w:sz="4" w:space="0" w:color="auto"/>
              <w:right w:val="single" w:sz="12" w:space="0" w:color="auto"/>
            </w:tcBorders>
          </w:tcPr>
          <w:p w:rsidR="00314E6A" w:rsidRPr="00B71CBA" w:rsidRDefault="0039125A" w:rsidP="00314E6A">
            <w:pPr>
              <w:jc w:val="center"/>
              <w:rPr>
                <w:rFonts w:ascii="Times New Roman" w:hAnsi="Times New Roman" w:cs="Times New Roman"/>
                <w:sz w:val="26"/>
                <w:szCs w:val="26"/>
              </w:rPr>
            </w:pPr>
            <w:r>
              <w:rPr>
                <w:rFonts w:ascii="Times New Roman" w:hAnsi="Times New Roman" w:cs="Times New Roman"/>
                <w:sz w:val="26"/>
                <w:szCs w:val="26"/>
              </w:rPr>
              <w:t>470</w:t>
            </w:r>
          </w:p>
        </w:tc>
      </w:tr>
      <w:tr w:rsidR="00314E6A" w:rsidTr="00314E6A">
        <w:trPr>
          <w:trHeight w:val="285"/>
        </w:trPr>
        <w:tc>
          <w:tcPr>
            <w:tcW w:w="9199" w:type="dxa"/>
            <w:vMerge/>
            <w:tcBorders>
              <w:left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314E6A" w:rsidRPr="00B71CBA" w:rsidRDefault="00E54248" w:rsidP="00314E6A">
            <w:pPr>
              <w:jc w:val="center"/>
              <w:rPr>
                <w:rFonts w:ascii="Times New Roman" w:hAnsi="Times New Roman" w:cs="Times New Roman"/>
                <w:sz w:val="26"/>
                <w:szCs w:val="26"/>
              </w:rPr>
            </w:pPr>
            <w:r>
              <w:rPr>
                <w:rFonts w:ascii="Times New Roman" w:hAnsi="Times New Roman" w:cs="Times New Roman"/>
                <w:sz w:val="26"/>
                <w:szCs w:val="26"/>
              </w:rPr>
              <w:t>98</w:t>
            </w:r>
          </w:p>
        </w:tc>
        <w:tc>
          <w:tcPr>
            <w:tcW w:w="1655" w:type="dxa"/>
            <w:tcBorders>
              <w:top w:val="dashed" w:sz="4" w:space="0" w:color="auto"/>
              <w:left w:val="single" w:sz="12" w:space="0" w:color="auto"/>
              <w:bottom w:val="dashed" w:sz="4" w:space="0" w:color="auto"/>
              <w:right w:val="single" w:sz="12" w:space="0" w:color="auto"/>
            </w:tcBorders>
          </w:tcPr>
          <w:p w:rsidR="00314E6A" w:rsidRPr="00B71CBA" w:rsidRDefault="00CA4ED0" w:rsidP="00314E6A">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66432" behindDoc="0" locked="0" layoutInCell="1" allowOverlap="1" wp14:anchorId="05B9BBB4" wp14:editId="41629F8A">
                      <wp:simplePos x="0" y="0"/>
                      <wp:positionH relativeFrom="column">
                        <wp:posOffset>742950</wp:posOffset>
                      </wp:positionH>
                      <wp:positionV relativeFrom="paragraph">
                        <wp:posOffset>-98425</wp:posOffset>
                      </wp:positionV>
                      <wp:extent cx="9525" cy="409575"/>
                      <wp:effectExtent l="38100" t="0" r="66675" b="47625"/>
                      <wp:wrapNone/>
                      <wp:docPr id="5" name="Straight Arrow Connector 5"/>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0883FF" id="Straight Arrow Connector 5" o:spid="_x0000_s1026" type="#_x0000_t32" style="position:absolute;margin-left:58.5pt;margin-top:-7.75pt;width:.75pt;height:32.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" strokecolor="black [3213]" strokeweight=".5pt">
                      <v:stroke endarrow="block" joinstyle="miter"/>
                    </v:shape>
                  </w:pict>
                </mc:Fallback>
              </mc:AlternateContent>
            </w:r>
            <w:r w:rsidR="0039125A">
              <w:rPr>
                <w:rFonts w:ascii="Times New Roman" w:hAnsi="Times New Roman" w:cs="Times New Roman"/>
                <w:sz w:val="26"/>
                <w:szCs w:val="26"/>
              </w:rPr>
              <w:t>466</w:t>
            </w:r>
          </w:p>
        </w:tc>
      </w:tr>
      <w:tr w:rsidR="00314E6A" w:rsidTr="00314E6A">
        <w:trPr>
          <w:trHeight w:val="360"/>
        </w:trPr>
        <w:tc>
          <w:tcPr>
            <w:tcW w:w="9199" w:type="dxa"/>
            <w:vMerge/>
            <w:tcBorders>
              <w:left w:val="single" w:sz="12" w:space="0" w:color="auto"/>
              <w:bottom w:val="single" w:sz="12" w:space="0" w:color="auto"/>
              <w:right w:val="single" w:sz="12" w:space="0" w:color="auto"/>
            </w:tcBorders>
          </w:tcPr>
          <w:p w:rsidR="00314E6A" w:rsidRPr="00B71CBA" w:rsidRDefault="00314E6A" w:rsidP="00314E6A">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314E6A" w:rsidRPr="00B71CBA" w:rsidRDefault="00314E6A" w:rsidP="00314E6A">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314E6A" w:rsidRPr="00B71CBA" w:rsidRDefault="002C0032" w:rsidP="00314E6A">
            <w:pPr>
              <w:jc w:val="center"/>
              <w:rPr>
                <w:rFonts w:ascii="Times New Roman" w:hAnsi="Times New Roman" w:cs="Times New Roman"/>
                <w:sz w:val="26"/>
                <w:szCs w:val="26"/>
              </w:rPr>
            </w:pPr>
            <w:r>
              <w:rPr>
                <w:rFonts w:ascii="Times New Roman" w:hAnsi="Times New Roman" w:cs="Times New Roman"/>
                <w:sz w:val="26"/>
                <w:szCs w:val="26"/>
              </w:rPr>
              <w:t>93</w:t>
            </w:r>
          </w:p>
        </w:tc>
        <w:tc>
          <w:tcPr>
            <w:tcW w:w="1655" w:type="dxa"/>
            <w:tcBorders>
              <w:top w:val="dashed" w:sz="4" w:space="0" w:color="auto"/>
              <w:left w:val="single" w:sz="12" w:space="0" w:color="auto"/>
              <w:bottom w:val="single" w:sz="12" w:space="0" w:color="auto"/>
              <w:right w:val="single" w:sz="12" w:space="0" w:color="auto"/>
            </w:tcBorders>
          </w:tcPr>
          <w:p w:rsidR="00314E6A" w:rsidRDefault="0039125A" w:rsidP="00314E6A">
            <w:pPr>
              <w:jc w:val="center"/>
              <w:rPr>
                <w:rFonts w:ascii="Times New Roman" w:hAnsi="Times New Roman" w:cs="Times New Roman"/>
                <w:sz w:val="26"/>
                <w:szCs w:val="26"/>
              </w:rPr>
            </w:pPr>
            <w:r>
              <w:rPr>
                <w:rFonts w:ascii="Times New Roman" w:hAnsi="Times New Roman" w:cs="Times New Roman"/>
                <w:sz w:val="26"/>
                <w:szCs w:val="26"/>
              </w:rPr>
              <w:t>434</w:t>
            </w:r>
          </w:p>
          <w:p w:rsidR="0039125A" w:rsidRDefault="0039125A" w:rsidP="00314E6A">
            <w:pPr>
              <w:jc w:val="center"/>
              <w:rPr>
                <w:rFonts w:ascii="Times New Roman" w:hAnsi="Times New Roman" w:cs="Times New Roman"/>
                <w:sz w:val="26"/>
                <w:szCs w:val="26"/>
              </w:rPr>
            </w:pPr>
          </w:p>
          <w:p w:rsidR="0039125A" w:rsidRPr="00B71CBA" w:rsidRDefault="0039125A" w:rsidP="00314E6A">
            <w:pPr>
              <w:jc w:val="center"/>
              <w:rPr>
                <w:rFonts w:ascii="Times New Roman" w:hAnsi="Times New Roman" w:cs="Times New Roman"/>
                <w:sz w:val="26"/>
                <w:szCs w:val="26"/>
              </w:rPr>
            </w:pPr>
          </w:p>
        </w:tc>
      </w:tr>
      <w:tr w:rsidR="009611C7" w:rsidTr="00314E6A">
        <w:trPr>
          <w:trHeight w:val="315"/>
        </w:trPr>
        <w:tc>
          <w:tcPr>
            <w:tcW w:w="9199" w:type="dxa"/>
            <w:tcBorders>
              <w:top w:val="single" w:sz="12" w:space="0" w:color="auto"/>
              <w:left w:val="single" w:sz="12" w:space="0" w:color="auto"/>
              <w:right w:val="single" w:sz="12" w:space="0" w:color="auto"/>
            </w:tcBorders>
          </w:tcPr>
          <w:p w:rsidR="009611C7" w:rsidRDefault="009611C7" w:rsidP="009611C7">
            <w:pPr>
              <w:jc w:val="center"/>
              <w:rPr>
                <w:rFonts w:ascii="Times New Roman" w:hAnsi="Times New Roman" w:cs="Times New Roman"/>
                <w:sz w:val="26"/>
                <w:szCs w:val="26"/>
              </w:rPr>
            </w:pPr>
          </w:p>
          <w:p w:rsidR="009611C7" w:rsidRDefault="009611C7" w:rsidP="009611C7">
            <w:pPr>
              <w:jc w:val="center"/>
              <w:rPr>
                <w:rFonts w:ascii="Times New Roman" w:hAnsi="Times New Roman" w:cs="Times New Roman"/>
                <w:sz w:val="26"/>
                <w:szCs w:val="26"/>
              </w:rPr>
            </w:pPr>
          </w:p>
          <w:p w:rsidR="009611C7" w:rsidRDefault="009611C7" w:rsidP="009611C7">
            <w:pPr>
              <w:jc w:val="center"/>
              <w:rPr>
                <w:rFonts w:ascii="Times New Roman" w:hAnsi="Times New Roman" w:cs="Times New Roman"/>
                <w:sz w:val="26"/>
                <w:szCs w:val="26"/>
              </w:rPr>
            </w:pPr>
          </w:p>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 xml:space="preserve">Kritērijs </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p>
          <w:p w:rsidR="009611C7" w:rsidRDefault="009611C7" w:rsidP="009611C7">
            <w:pPr>
              <w:jc w:val="center"/>
              <w:rPr>
                <w:rFonts w:ascii="Times New Roman" w:hAnsi="Times New Roman" w:cs="Times New Roman"/>
                <w:sz w:val="26"/>
                <w:szCs w:val="26"/>
              </w:rPr>
            </w:pPr>
          </w:p>
          <w:p w:rsidR="009611C7" w:rsidRDefault="009611C7" w:rsidP="009611C7">
            <w:pPr>
              <w:jc w:val="center"/>
              <w:rPr>
                <w:rFonts w:ascii="Times New Roman" w:hAnsi="Times New Roman" w:cs="Times New Roman"/>
                <w:sz w:val="26"/>
                <w:szCs w:val="26"/>
              </w:rPr>
            </w:pPr>
          </w:p>
          <w:p w:rsidR="009611C7" w:rsidRPr="00B71CBA" w:rsidRDefault="009611C7" w:rsidP="009611C7">
            <w:pPr>
              <w:jc w:val="center"/>
              <w:rPr>
                <w:rFonts w:ascii="Times New Roman" w:hAnsi="Times New Roman" w:cs="Times New Roman"/>
                <w:sz w:val="26"/>
                <w:szCs w:val="26"/>
              </w:rPr>
            </w:pPr>
            <w:r w:rsidRPr="00B71CBA">
              <w:rPr>
                <w:rFonts w:ascii="Times New Roman" w:hAnsi="Times New Roman" w:cs="Times New Roman"/>
                <w:sz w:val="26"/>
                <w:szCs w:val="26"/>
              </w:rPr>
              <w:t>Gads</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sidRPr="00B71CBA">
              <w:rPr>
                <w:rFonts w:ascii="Times New Roman" w:hAnsi="Times New Roman" w:cs="Times New Roman"/>
                <w:sz w:val="26"/>
                <w:szCs w:val="26"/>
              </w:rPr>
              <w:t>Bāriņtiesu skaits, kuras pieņēmušas lēmumus minētajā kategoriju lietā</w:t>
            </w:r>
            <w:r>
              <w:rPr>
                <w:rFonts w:ascii="Times New Roman" w:hAnsi="Times New Roman" w:cs="Times New Roman"/>
                <w:sz w:val="26"/>
                <w:szCs w:val="26"/>
              </w:rPr>
              <w:t xml:space="preserve"> konkrētajā pārskata gadā</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Noteiktā kritērija kopējais rādītājs</w:t>
            </w:r>
            <w:r w:rsidRPr="00B71CBA">
              <w:rPr>
                <w:rFonts w:ascii="Times New Roman" w:hAnsi="Times New Roman" w:cs="Times New Roman"/>
                <w:sz w:val="26"/>
                <w:szCs w:val="26"/>
              </w:rPr>
              <w:t xml:space="preserve"> pārskata gadā</w:t>
            </w:r>
          </w:p>
        </w:tc>
      </w:tr>
      <w:tr w:rsidR="009611C7" w:rsidTr="00314E6A">
        <w:trPr>
          <w:trHeight w:val="315"/>
        </w:trPr>
        <w:tc>
          <w:tcPr>
            <w:tcW w:w="9199" w:type="dxa"/>
            <w:vMerge w:val="restart"/>
            <w:tcBorders>
              <w:top w:val="single" w:sz="12" w:space="0" w:color="auto"/>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r w:rsidRPr="00B71CBA">
              <w:rPr>
                <w:rFonts w:ascii="Times New Roman" w:hAnsi="Times New Roman" w:cs="Times New Roman"/>
                <w:sz w:val="26"/>
                <w:szCs w:val="26"/>
              </w:rPr>
              <w:t>7.4. Nepilngadīgo personu skaits, par kurām bāriņtiesa pieņēmusi lēmumu par atļaujas došanu stāties laulībā pirms 18 gadu vecuma sasniegšanas</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r>
      <w:tr w:rsidR="009611C7" w:rsidTr="00314E6A">
        <w:trPr>
          <w:trHeight w:val="285"/>
        </w:trPr>
        <w:tc>
          <w:tcPr>
            <w:tcW w:w="9199" w:type="dxa"/>
            <w:vMerge/>
            <w:tcBorders>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c>
          <w:tcPr>
            <w:tcW w:w="1655"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r>
      <w:tr w:rsidR="009611C7" w:rsidTr="00314E6A">
        <w:trPr>
          <w:trHeight w:val="195"/>
        </w:trPr>
        <w:tc>
          <w:tcPr>
            <w:tcW w:w="9199" w:type="dxa"/>
            <w:vMerge/>
            <w:tcBorders>
              <w:left w:val="single" w:sz="12" w:space="0" w:color="auto"/>
              <w:bottom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c>
          <w:tcPr>
            <w:tcW w:w="1655"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w:t>
            </w:r>
          </w:p>
        </w:tc>
      </w:tr>
      <w:tr w:rsidR="009611C7" w:rsidTr="00314E6A">
        <w:trPr>
          <w:trHeight w:val="150"/>
        </w:trPr>
        <w:tc>
          <w:tcPr>
            <w:tcW w:w="9199" w:type="dxa"/>
            <w:vMerge w:val="restart"/>
            <w:tcBorders>
              <w:top w:val="single" w:sz="12" w:space="0" w:color="auto"/>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r w:rsidRPr="00B71CBA">
              <w:rPr>
                <w:rFonts w:ascii="Times New Roman" w:hAnsi="Times New Roman" w:cs="Times New Roman"/>
                <w:sz w:val="26"/>
                <w:szCs w:val="26"/>
              </w:rPr>
              <w:t>7.5. Bērnu skaits par kuriem bāriņtiesa pieņēmusi lēmumu par pilngadības piešķiršanu pirms 18 gadu vecuma sasniegšanas</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0</w:t>
            </w:r>
          </w:p>
        </w:tc>
      </w:tr>
      <w:tr w:rsidR="009611C7" w:rsidTr="00314E6A">
        <w:trPr>
          <w:trHeight w:val="225"/>
        </w:trPr>
        <w:tc>
          <w:tcPr>
            <w:tcW w:w="9199" w:type="dxa"/>
            <w:vMerge/>
            <w:tcBorders>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w:t>
            </w:r>
          </w:p>
        </w:tc>
        <w:tc>
          <w:tcPr>
            <w:tcW w:w="1655"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w:t>
            </w:r>
          </w:p>
        </w:tc>
      </w:tr>
      <w:tr w:rsidR="009611C7" w:rsidTr="00314E6A">
        <w:trPr>
          <w:trHeight w:val="150"/>
        </w:trPr>
        <w:tc>
          <w:tcPr>
            <w:tcW w:w="9199" w:type="dxa"/>
            <w:vMerge/>
            <w:tcBorders>
              <w:left w:val="single" w:sz="12" w:space="0" w:color="auto"/>
              <w:bottom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w:t>
            </w:r>
          </w:p>
        </w:tc>
        <w:tc>
          <w:tcPr>
            <w:tcW w:w="1655"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0</w:t>
            </w:r>
          </w:p>
        </w:tc>
      </w:tr>
      <w:tr w:rsidR="009611C7" w:rsidTr="00314E6A">
        <w:trPr>
          <w:trHeight w:val="180"/>
        </w:trPr>
        <w:tc>
          <w:tcPr>
            <w:tcW w:w="9199" w:type="dxa"/>
            <w:vMerge w:val="restart"/>
            <w:tcBorders>
              <w:top w:val="single" w:sz="12" w:space="0" w:color="auto"/>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r w:rsidRPr="00B71CBA">
              <w:rPr>
                <w:rFonts w:ascii="Times New Roman" w:hAnsi="Times New Roman" w:cs="Times New Roman"/>
                <w:sz w:val="26"/>
                <w:szCs w:val="26"/>
              </w:rPr>
              <w:t>7.6. Bērnu skaits, kuri nosūtīti konsultācijas saņemšanai pie ģimenes ārsta, psihologa vai cita speciālista</w:t>
            </w:r>
            <w:r>
              <w:rPr>
                <w:rFonts w:ascii="Times New Roman" w:hAnsi="Times New Roman" w:cs="Times New Roman"/>
                <w:sz w:val="26"/>
                <w:szCs w:val="26"/>
              </w:rPr>
              <w:t xml:space="preserve"> </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33</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204</w:t>
            </w:r>
          </w:p>
        </w:tc>
      </w:tr>
      <w:tr w:rsidR="009611C7" w:rsidTr="00314E6A">
        <w:trPr>
          <w:trHeight w:val="165"/>
        </w:trPr>
        <w:tc>
          <w:tcPr>
            <w:tcW w:w="9199" w:type="dxa"/>
            <w:vMerge/>
            <w:tcBorders>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32</w:t>
            </w:r>
          </w:p>
        </w:tc>
        <w:tc>
          <w:tcPr>
            <w:tcW w:w="1655"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70528" behindDoc="0" locked="0" layoutInCell="1" allowOverlap="1" wp14:anchorId="7FCA2A9E" wp14:editId="09D1EFE7">
                      <wp:simplePos x="0" y="0"/>
                      <wp:positionH relativeFrom="column">
                        <wp:posOffset>800100</wp:posOffset>
                      </wp:positionH>
                      <wp:positionV relativeFrom="paragraph">
                        <wp:posOffset>-90805</wp:posOffset>
                      </wp:positionV>
                      <wp:extent cx="9525" cy="409575"/>
                      <wp:effectExtent l="38100" t="0" r="66675" b="47625"/>
                      <wp:wrapNone/>
                      <wp:docPr id="3" name="Straight Arrow Connector 3"/>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F71B7C" id="Straight Arrow Connector 3" o:spid="_x0000_s1026" type="#_x0000_t32" style="position:absolute;margin-left:63pt;margin-top:-7.15pt;width:.75pt;height:3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" strokecolor="black [3213]" strokeweight=".5pt">
                      <v:stroke endarrow="block" joinstyle="miter"/>
                    </v:shape>
                  </w:pict>
                </mc:Fallback>
              </mc:AlternateContent>
            </w:r>
            <w:r>
              <w:rPr>
                <w:rFonts w:ascii="Times New Roman" w:hAnsi="Times New Roman" w:cs="Times New Roman"/>
                <w:sz w:val="26"/>
                <w:szCs w:val="26"/>
              </w:rPr>
              <w:t>119</w:t>
            </w:r>
          </w:p>
        </w:tc>
      </w:tr>
      <w:tr w:rsidR="009611C7" w:rsidTr="00314E6A">
        <w:trPr>
          <w:trHeight w:val="165"/>
        </w:trPr>
        <w:tc>
          <w:tcPr>
            <w:tcW w:w="9199" w:type="dxa"/>
            <w:vMerge/>
            <w:tcBorders>
              <w:left w:val="single" w:sz="12" w:space="0" w:color="auto"/>
              <w:bottom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27</w:t>
            </w:r>
          </w:p>
        </w:tc>
        <w:tc>
          <w:tcPr>
            <w:tcW w:w="1655"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130</w:t>
            </w:r>
          </w:p>
        </w:tc>
      </w:tr>
      <w:tr w:rsidR="009611C7" w:rsidTr="00314E6A">
        <w:trPr>
          <w:trHeight w:val="210"/>
        </w:trPr>
        <w:tc>
          <w:tcPr>
            <w:tcW w:w="9199" w:type="dxa"/>
            <w:vMerge w:val="restart"/>
            <w:tcBorders>
              <w:top w:val="single" w:sz="12" w:space="0" w:color="auto"/>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r w:rsidRPr="00B71CBA">
              <w:rPr>
                <w:rFonts w:ascii="Times New Roman" w:hAnsi="Times New Roman" w:cs="Times New Roman"/>
                <w:sz w:val="26"/>
                <w:szCs w:val="26"/>
              </w:rPr>
              <w:t>7.7. Pieņemtie lēmumi par nepilngadīgo bērnu un personu ar ierobežotu rīcībspēju mantisko interešu nodrošināšanu vai aizstāvību</w:t>
            </w:r>
            <w:proofErr w:type="gramStart"/>
            <w:r w:rsidRPr="00B71CBA">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End"/>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112</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1354</w:t>
            </w:r>
          </w:p>
        </w:tc>
      </w:tr>
      <w:tr w:rsidR="009611C7" w:rsidTr="00314E6A">
        <w:trPr>
          <w:trHeight w:val="105"/>
        </w:trPr>
        <w:tc>
          <w:tcPr>
            <w:tcW w:w="9199" w:type="dxa"/>
            <w:vMerge/>
            <w:tcBorders>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114</w:t>
            </w:r>
          </w:p>
        </w:tc>
        <w:tc>
          <w:tcPr>
            <w:tcW w:w="1655"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71552" behindDoc="0" locked="0" layoutInCell="1" allowOverlap="1" wp14:anchorId="55ED382C" wp14:editId="0890E63A">
                      <wp:simplePos x="0" y="0"/>
                      <wp:positionH relativeFrom="column">
                        <wp:posOffset>790575</wp:posOffset>
                      </wp:positionH>
                      <wp:positionV relativeFrom="paragraph">
                        <wp:posOffset>-120650</wp:posOffset>
                      </wp:positionV>
                      <wp:extent cx="9525" cy="409575"/>
                      <wp:effectExtent l="38100" t="0" r="66675" b="47625"/>
                      <wp:wrapNone/>
                      <wp:docPr id="4" name="Straight Arrow Connector 4"/>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AE71ED" id="Straight Arrow Connector 4" o:spid="_x0000_s1026" type="#_x0000_t32" style="position:absolute;margin-left:62.25pt;margin-top:-9.5pt;width:.75pt;height:32.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" strokecolor="black [3213]" strokeweight=".5pt">
                      <v:stroke endarrow="block" joinstyle="miter"/>
                    </v:shape>
                  </w:pict>
                </mc:Fallback>
              </mc:AlternateContent>
            </w:r>
            <w:r>
              <w:rPr>
                <w:rFonts w:ascii="Times New Roman" w:hAnsi="Times New Roman" w:cs="Times New Roman"/>
                <w:sz w:val="26"/>
                <w:szCs w:val="26"/>
              </w:rPr>
              <w:t>1358</w:t>
            </w:r>
          </w:p>
        </w:tc>
      </w:tr>
      <w:tr w:rsidR="009611C7" w:rsidTr="00314E6A">
        <w:trPr>
          <w:trHeight w:val="195"/>
        </w:trPr>
        <w:tc>
          <w:tcPr>
            <w:tcW w:w="9199" w:type="dxa"/>
            <w:vMerge/>
            <w:tcBorders>
              <w:left w:val="single" w:sz="12" w:space="0" w:color="auto"/>
              <w:bottom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105</w:t>
            </w:r>
          </w:p>
        </w:tc>
        <w:tc>
          <w:tcPr>
            <w:tcW w:w="1655"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1276</w:t>
            </w:r>
          </w:p>
        </w:tc>
      </w:tr>
      <w:tr w:rsidR="009611C7" w:rsidTr="00314E6A">
        <w:trPr>
          <w:trHeight w:val="120"/>
        </w:trPr>
        <w:tc>
          <w:tcPr>
            <w:tcW w:w="9199" w:type="dxa"/>
            <w:vMerge w:val="restart"/>
            <w:tcBorders>
              <w:top w:val="single" w:sz="12" w:space="0" w:color="auto"/>
              <w:left w:val="single" w:sz="12" w:space="0" w:color="auto"/>
              <w:right w:val="single" w:sz="12" w:space="0" w:color="auto"/>
            </w:tcBorders>
          </w:tcPr>
          <w:p w:rsidR="009611C7" w:rsidRPr="00B71CBA" w:rsidRDefault="009E6EF4" w:rsidP="009611C7">
            <w:pPr>
              <w:jc w:val="both"/>
              <w:rPr>
                <w:rFonts w:ascii="Times New Roman" w:hAnsi="Times New Roman" w:cs="Times New Roman"/>
                <w:sz w:val="26"/>
                <w:szCs w:val="26"/>
              </w:rPr>
            </w:pPr>
            <w:r w:rsidRPr="00B71CBA">
              <w:rPr>
                <w:rFonts w:ascii="Times New Roman" w:hAnsi="Times New Roman" w:cs="Times New Roman"/>
                <w:sz w:val="26"/>
                <w:szCs w:val="26"/>
              </w:rPr>
              <w:t>7.8. Pieņemto lēmumu skaits pārskata gadā</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142</w:t>
            </w:r>
          </w:p>
        </w:tc>
        <w:tc>
          <w:tcPr>
            <w:tcW w:w="1655"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13 821</w:t>
            </w:r>
          </w:p>
        </w:tc>
      </w:tr>
      <w:tr w:rsidR="009611C7" w:rsidTr="00314E6A">
        <w:trPr>
          <w:trHeight w:val="90"/>
        </w:trPr>
        <w:tc>
          <w:tcPr>
            <w:tcW w:w="9199" w:type="dxa"/>
            <w:vMerge/>
            <w:tcBorders>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142</w:t>
            </w:r>
          </w:p>
        </w:tc>
        <w:tc>
          <w:tcPr>
            <w:tcW w:w="1655"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72576" behindDoc="0" locked="0" layoutInCell="1" allowOverlap="1" wp14:anchorId="39DCE44F" wp14:editId="6A2F8F1A">
                      <wp:simplePos x="0" y="0"/>
                      <wp:positionH relativeFrom="column">
                        <wp:posOffset>809625</wp:posOffset>
                      </wp:positionH>
                      <wp:positionV relativeFrom="paragraph">
                        <wp:posOffset>-130810</wp:posOffset>
                      </wp:positionV>
                      <wp:extent cx="9525" cy="409575"/>
                      <wp:effectExtent l="38100" t="0" r="66675" b="47625"/>
                      <wp:wrapNone/>
                      <wp:docPr id="6" name="Straight Arrow Connector 6"/>
                      <wp:cNvGraphicFramePr/>
                      <a:graphic xmlns:a="http://schemas.openxmlformats.org/drawingml/2006/main">
                        <a:graphicData uri="http://schemas.microsoft.com/office/word/2010/wordprocessingShape">
                          <wps:wsp>
                            <wps:cNvCnPr/>
                            <wps:spPr>
                              <a:xfrm>
                                <a:off x="0" y="0"/>
                                <a:ext cx="9525"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9C2A59" id="Straight Arrow Connector 6" o:spid="_x0000_s1026" type="#_x0000_t32" style="position:absolute;margin-left:63.75pt;margin-top:-10.3pt;width:.75pt;height:32.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" strokecolor="black [3213]" strokeweight=".5pt">
                      <v:stroke endarrow="block" joinstyle="miter"/>
                    </v:shape>
                  </w:pict>
                </mc:Fallback>
              </mc:AlternateContent>
            </w:r>
            <w:r>
              <w:rPr>
                <w:rFonts w:ascii="Times New Roman" w:hAnsi="Times New Roman" w:cs="Times New Roman"/>
                <w:sz w:val="26"/>
                <w:szCs w:val="26"/>
              </w:rPr>
              <w:t>13 004</w:t>
            </w:r>
          </w:p>
        </w:tc>
      </w:tr>
      <w:tr w:rsidR="009611C7" w:rsidTr="00314E6A">
        <w:trPr>
          <w:trHeight w:val="165"/>
        </w:trPr>
        <w:tc>
          <w:tcPr>
            <w:tcW w:w="9199" w:type="dxa"/>
            <w:vMerge/>
            <w:tcBorders>
              <w:left w:val="single" w:sz="12" w:space="0" w:color="auto"/>
              <w:bottom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p>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139</w:t>
            </w:r>
          </w:p>
        </w:tc>
        <w:tc>
          <w:tcPr>
            <w:tcW w:w="1655"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13 228</w:t>
            </w:r>
          </w:p>
        </w:tc>
      </w:tr>
      <w:tr w:rsidR="009611C7" w:rsidTr="00314E6A">
        <w:trPr>
          <w:trHeight w:val="120"/>
        </w:trPr>
        <w:tc>
          <w:tcPr>
            <w:tcW w:w="9199" w:type="dxa"/>
            <w:vMerge w:val="restart"/>
            <w:tcBorders>
              <w:top w:val="single" w:sz="12" w:space="0" w:color="auto"/>
              <w:left w:val="single" w:sz="12" w:space="0" w:color="auto"/>
              <w:right w:val="single" w:sz="12" w:space="0" w:color="auto"/>
            </w:tcBorders>
          </w:tcPr>
          <w:p w:rsidR="009611C7" w:rsidRPr="00B71CBA" w:rsidRDefault="009611C7" w:rsidP="009611C7">
            <w:pPr>
              <w:jc w:val="both"/>
              <w:rPr>
                <w:rFonts w:ascii="Times New Roman" w:hAnsi="Times New Roman" w:cs="Times New Roman"/>
                <w:sz w:val="26"/>
                <w:szCs w:val="26"/>
              </w:rPr>
            </w:pPr>
            <w:r w:rsidRPr="00B71CBA">
              <w:rPr>
                <w:rFonts w:ascii="Times New Roman" w:hAnsi="Times New Roman" w:cs="Times New Roman"/>
                <w:sz w:val="26"/>
                <w:szCs w:val="26"/>
              </w:rPr>
              <w:t>7.10. Pārskata gadā ierosināto lietu skaits</w:t>
            </w:r>
          </w:p>
        </w:tc>
        <w:tc>
          <w:tcPr>
            <w:tcW w:w="1559"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2014</w:t>
            </w:r>
          </w:p>
        </w:tc>
        <w:tc>
          <w:tcPr>
            <w:tcW w:w="2127" w:type="dxa"/>
            <w:tcBorders>
              <w:top w:val="single" w:sz="12"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142</w:t>
            </w:r>
          </w:p>
        </w:tc>
        <w:tc>
          <w:tcPr>
            <w:tcW w:w="1655" w:type="dxa"/>
            <w:tcBorders>
              <w:top w:val="single" w:sz="12" w:space="0" w:color="auto"/>
              <w:left w:val="single" w:sz="12" w:space="0" w:color="auto"/>
              <w:bottom w:val="dashed" w:sz="4" w:space="0" w:color="auto"/>
              <w:right w:val="single" w:sz="12" w:space="0" w:color="auto"/>
            </w:tcBorders>
          </w:tcPr>
          <w:p w:rsidR="009611C7" w:rsidRPr="0039125A" w:rsidRDefault="009611C7" w:rsidP="009611C7">
            <w:pPr>
              <w:jc w:val="center"/>
              <w:rPr>
                <w:rFonts w:ascii="Times New Roman" w:hAnsi="Times New Roman" w:cs="Times New Roman"/>
                <w:sz w:val="26"/>
                <w:szCs w:val="26"/>
              </w:rPr>
            </w:pPr>
            <w:r w:rsidRPr="0039125A">
              <w:rPr>
                <w:rFonts w:ascii="Times New Roman" w:hAnsi="Times New Roman" w:cs="Times New Roman"/>
                <w:sz w:val="26"/>
                <w:szCs w:val="26"/>
              </w:rPr>
              <w:t>6241</w:t>
            </w:r>
            <w:r w:rsidR="002C0032">
              <w:rPr>
                <w:rFonts w:ascii="Times New Roman" w:hAnsi="Times New Roman" w:cs="Times New Roman"/>
                <w:sz w:val="26"/>
                <w:szCs w:val="26"/>
              </w:rPr>
              <w:t xml:space="preserve"> </w:t>
            </w:r>
          </w:p>
        </w:tc>
      </w:tr>
      <w:tr w:rsidR="009611C7" w:rsidTr="00314E6A">
        <w:trPr>
          <w:trHeight w:val="105"/>
        </w:trPr>
        <w:tc>
          <w:tcPr>
            <w:tcW w:w="9199" w:type="dxa"/>
            <w:vMerge/>
            <w:tcBorders>
              <w:left w:val="single" w:sz="12" w:space="0" w:color="auto"/>
              <w:right w:val="single" w:sz="12" w:space="0" w:color="auto"/>
            </w:tcBorders>
          </w:tcPr>
          <w:p w:rsidR="009611C7" w:rsidRDefault="009611C7" w:rsidP="009611C7"/>
        </w:tc>
        <w:tc>
          <w:tcPr>
            <w:tcW w:w="1559" w:type="dxa"/>
            <w:tcBorders>
              <w:top w:val="dashed" w:sz="4" w:space="0" w:color="auto"/>
              <w:left w:val="single" w:sz="12" w:space="0" w:color="auto"/>
              <w:bottom w:val="dashed" w:sz="4"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2015</w:t>
            </w:r>
          </w:p>
        </w:tc>
        <w:tc>
          <w:tcPr>
            <w:tcW w:w="2127" w:type="dxa"/>
            <w:tcBorders>
              <w:top w:val="dashed" w:sz="4" w:space="0" w:color="auto"/>
              <w:left w:val="single" w:sz="12" w:space="0" w:color="auto"/>
              <w:bottom w:val="dashed" w:sz="4" w:space="0" w:color="auto"/>
              <w:right w:val="single" w:sz="12" w:space="0" w:color="auto"/>
            </w:tcBorders>
          </w:tcPr>
          <w:p w:rsidR="009611C7" w:rsidRDefault="009611C7" w:rsidP="009611C7">
            <w:pPr>
              <w:jc w:val="center"/>
            </w:pPr>
            <w:r>
              <w:t>142</w:t>
            </w:r>
          </w:p>
        </w:tc>
        <w:tc>
          <w:tcPr>
            <w:tcW w:w="1655" w:type="dxa"/>
            <w:tcBorders>
              <w:top w:val="dashed" w:sz="4" w:space="0" w:color="auto"/>
              <w:left w:val="single" w:sz="12" w:space="0" w:color="auto"/>
              <w:bottom w:val="dashed" w:sz="4" w:space="0" w:color="auto"/>
              <w:right w:val="single" w:sz="12" w:space="0" w:color="auto"/>
            </w:tcBorders>
          </w:tcPr>
          <w:p w:rsidR="009611C7" w:rsidRPr="0039125A" w:rsidRDefault="002C0032" w:rsidP="009611C7">
            <w:pPr>
              <w:jc w:val="center"/>
              <w:rPr>
                <w:rFonts w:ascii="Times New Roman" w:hAnsi="Times New Roman" w:cs="Times New Roman"/>
                <w:sz w:val="26"/>
                <w:szCs w:val="26"/>
              </w:rPr>
            </w:pPr>
            <w:r>
              <w:rPr>
                <w:rFonts w:ascii="Times New Roman" w:hAnsi="Times New Roman" w:cs="Times New Roman"/>
                <w:noProof/>
                <w:sz w:val="26"/>
                <w:szCs w:val="26"/>
                <w:lang w:eastAsia="lv-LV"/>
              </w:rPr>
              <mc:AlternateContent>
                <mc:Choice Requires="wps">
                  <w:drawing>
                    <wp:anchor distT="0" distB="0" distL="114300" distR="114300" simplePos="0" relativeHeight="251676672" behindDoc="0" locked="0" layoutInCell="1" allowOverlap="1" wp14:anchorId="4A4760C9" wp14:editId="2F58DB42">
                      <wp:simplePos x="0" y="0"/>
                      <wp:positionH relativeFrom="column">
                        <wp:posOffset>800100</wp:posOffset>
                      </wp:positionH>
                      <wp:positionV relativeFrom="paragraph">
                        <wp:posOffset>-107950</wp:posOffset>
                      </wp:positionV>
                      <wp:extent cx="0" cy="428625"/>
                      <wp:effectExtent l="76200" t="38100" r="57150" b="9525"/>
                      <wp:wrapNone/>
                      <wp:docPr id="16" name="Straight Arrow Connector 16"/>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1D0B1F" id="Straight Arrow Connector 16" o:spid="_x0000_s1026" type="#_x0000_t32" style="position:absolute;margin-left:63pt;margin-top:-8.5pt;width:0;height:33.7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" strokecolor="black [3213]" strokeweight=".5pt">
                      <v:stroke endarrow="block" joinstyle="miter"/>
                    </v:shape>
                  </w:pict>
                </mc:Fallback>
              </mc:AlternateContent>
            </w:r>
            <w:r w:rsidR="009611C7" w:rsidRPr="0039125A">
              <w:rPr>
                <w:rFonts w:ascii="Times New Roman" w:hAnsi="Times New Roman" w:cs="Times New Roman"/>
                <w:sz w:val="26"/>
                <w:szCs w:val="26"/>
              </w:rPr>
              <w:t>5954</w:t>
            </w:r>
          </w:p>
        </w:tc>
      </w:tr>
      <w:tr w:rsidR="009611C7" w:rsidTr="00314E6A">
        <w:trPr>
          <w:trHeight w:val="150"/>
        </w:trPr>
        <w:tc>
          <w:tcPr>
            <w:tcW w:w="9199" w:type="dxa"/>
            <w:vMerge/>
            <w:tcBorders>
              <w:left w:val="single" w:sz="12" w:space="0" w:color="auto"/>
              <w:bottom w:val="single" w:sz="12" w:space="0" w:color="auto"/>
              <w:right w:val="single" w:sz="12" w:space="0" w:color="auto"/>
            </w:tcBorders>
          </w:tcPr>
          <w:p w:rsidR="009611C7" w:rsidRDefault="009611C7" w:rsidP="009611C7"/>
        </w:tc>
        <w:tc>
          <w:tcPr>
            <w:tcW w:w="1559" w:type="dxa"/>
            <w:tcBorders>
              <w:top w:val="dashed" w:sz="4" w:space="0" w:color="auto"/>
              <w:left w:val="single" w:sz="12" w:space="0" w:color="auto"/>
              <w:bottom w:val="single" w:sz="12" w:space="0" w:color="auto"/>
              <w:right w:val="single" w:sz="12" w:space="0" w:color="auto"/>
            </w:tcBorders>
          </w:tcPr>
          <w:p w:rsidR="009611C7" w:rsidRPr="00B71CBA" w:rsidRDefault="009611C7" w:rsidP="009611C7">
            <w:pPr>
              <w:jc w:val="center"/>
              <w:rPr>
                <w:rFonts w:ascii="Times New Roman" w:hAnsi="Times New Roman" w:cs="Times New Roman"/>
                <w:sz w:val="26"/>
                <w:szCs w:val="26"/>
              </w:rPr>
            </w:pPr>
            <w:r>
              <w:rPr>
                <w:rFonts w:ascii="Times New Roman" w:hAnsi="Times New Roman" w:cs="Times New Roman"/>
                <w:sz w:val="26"/>
                <w:szCs w:val="26"/>
              </w:rPr>
              <w:t>2016</w:t>
            </w:r>
          </w:p>
        </w:tc>
        <w:tc>
          <w:tcPr>
            <w:tcW w:w="2127" w:type="dxa"/>
            <w:tcBorders>
              <w:top w:val="dashed" w:sz="4" w:space="0" w:color="auto"/>
              <w:left w:val="single" w:sz="12" w:space="0" w:color="auto"/>
              <w:bottom w:val="single" w:sz="12" w:space="0" w:color="auto"/>
              <w:right w:val="single" w:sz="12" w:space="0" w:color="auto"/>
            </w:tcBorders>
          </w:tcPr>
          <w:p w:rsidR="009611C7" w:rsidRDefault="009611C7" w:rsidP="009611C7">
            <w:pPr>
              <w:jc w:val="center"/>
            </w:pPr>
            <w:r>
              <w:t>139</w:t>
            </w:r>
          </w:p>
        </w:tc>
        <w:tc>
          <w:tcPr>
            <w:tcW w:w="1655" w:type="dxa"/>
            <w:tcBorders>
              <w:top w:val="dashed" w:sz="4" w:space="0" w:color="auto"/>
              <w:left w:val="single" w:sz="12" w:space="0" w:color="auto"/>
              <w:bottom w:val="single" w:sz="12" w:space="0" w:color="auto"/>
              <w:right w:val="single" w:sz="12" w:space="0" w:color="auto"/>
            </w:tcBorders>
          </w:tcPr>
          <w:p w:rsidR="009611C7" w:rsidRPr="0039125A" w:rsidRDefault="009611C7" w:rsidP="009611C7">
            <w:pPr>
              <w:jc w:val="center"/>
              <w:rPr>
                <w:rFonts w:ascii="Times New Roman" w:hAnsi="Times New Roman" w:cs="Times New Roman"/>
                <w:sz w:val="26"/>
                <w:szCs w:val="26"/>
              </w:rPr>
            </w:pPr>
            <w:r w:rsidRPr="0039125A">
              <w:rPr>
                <w:rFonts w:ascii="Times New Roman" w:hAnsi="Times New Roman" w:cs="Times New Roman"/>
                <w:sz w:val="26"/>
                <w:szCs w:val="26"/>
              </w:rPr>
              <w:t>6353</w:t>
            </w:r>
          </w:p>
        </w:tc>
      </w:tr>
    </w:tbl>
    <w:p w:rsidR="00710D15" w:rsidRDefault="00710D15"/>
    <w:p w:rsidR="009E6EF4" w:rsidRDefault="009E6EF4"/>
    <w:p w:rsidR="009E6EF4" w:rsidRDefault="009E6EF4"/>
    <w:p w:rsidR="009E6EF4" w:rsidRDefault="009E6EF4"/>
    <w:p w:rsidR="009E6EF4" w:rsidRPr="00AC32CF" w:rsidRDefault="009E6EF4" w:rsidP="009E6EF4">
      <w:pPr>
        <w:jc w:val="center"/>
        <w:rPr>
          <w:b/>
          <w:noProof/>
          <w:sz w:val="40"/>
          <w:szCs w:val="40"/>
          <w:lang w:eastAsia="lv-LV"/>
        </w:rPr>
      </w:pPr>
      <w:r w:rsidRPr="00AC32CF">
        <w:rPr>
          <w:rFonts w:ascii="Times New Roman" w:hAnsi="Times New Roman" w:cs="Times New Roman"/>
          <w:b/>
          <w:sz w:val="40"/>
          <w:szCs w:val="40"/>
        </w:rPr>
        <w:lastRenderedPageBreak/>
        <w:t>7.8. Pieņemto lēmumu skaits pārskata gadā</w:t>
      </w:r>
      <w:r w:rsidRPr="00AC32CF">
        <w:rPr>
          <w:b/>
          <w:noProof/>
          <w:sz w:val="40"/>
          <w:szCs w:val="40"/>
          <w:lang w:eastAsia="lv-LV"/>
        </w:rPr>
        <w:t xml:space="preserve"> </w:t>
      </w:r>
    </w:p>
    <w:p w:rsidR="009E6EF4" w:rsidRDefault="009E6EF4" w:rsidP="009E6EF4">
      <w:pPr>
        <w:jc w:val="center"/>
      </w:pPr>
      <w:r>
        <w:rPr>
          <w:noProof/>
          <w:lang w:eastAsia="lv-LV"/>
        </w:rPr>
        <w:drawing>
          <wp:inline distT="0" distB="0" distL="0" distR="0" wp14:anchorId="51732C5C" wp14:editId="4A7999DE">
            <wp:extent cx="8077200" cy="46863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4C2C" w:rsidRDefault="00D74C2C" w:rsidP="009E6EF4">
      <w:pPr>
        <w:jc w:val="center"/>
      </w:pPr>
    </w:p>
    <w:p w:rsidR="00D74C2C" w:rsidRDefault="00D74C2C" w:rsidP="009E6EF4">
      <w:pPr>
        <w:jc w:val="center"/>
      </w:pPr>
    </w:p>
    <w:p w:rsidR="00D74C2C" w:rsidRDefault="00D74C2C" w:rsidP="009E6EF4">
      <w:pPr>
        <w:jc w:val="center"/>
      </w:pPr>
    </w:p>
    <w:p w:rsidR="00D74C2C" w:rsidRPr="00B42770" w:rsidRDefault="00D74C2C" w:rsidP="00B42770">
      <w:pPr>
        <w:jc w:val="center"/>
        <w:rPr>
          <w:sz w:val="40"/>
          <w:szCs w:val="40"/>
        </w:rPr>
      </w:pPr>
      <w:r w:rsidRPr="00D74C2C">
        <w:rPr>
          <w:b/>
          <w:bCs/>
          <w:sz w:val="40"/>
          <w:szCs w:val="40"/>
        </w:rPr>
        <w:lastRenderedPageBreak/>
        <w:t xml:space="preserve">Bāriņtiesu iedalījums %, atkarībā no gadā pieņemto lēmumu apjoma </w:t>
      </w:r>
    </w:p>
    <w:p w:rsidR="009E6EF4" w:rsidRDefault="00960C7F">
      <w:r>
        <w:rPr>
          <w:noProof/>
          <w:lang w:eastAsia="lv-LV"/>
        </w:rPr>
        <w:drawing>
          <wp:inline distT="0" distB="0" distL="0" distR="0" wp14:anchorId="0F2E8696" wp14:editId="06EDD71A">
            <wp:extent cx="2914650" cy="4982547"/>
            <wp:effectExtent l="0" t="0" r="0" b="88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lang w:eastAsia="lv-LV"/>
        </w:rPr>
        <w:drawing>
          <wp:inline distT="0" distB="0" distL="0" distR="0" wp14:anchorId="5804CDB2" wp14:editId="4B540A4B">
            <wp:extent cx="2943225" cy="4979242"/>
            <wp:effectExtent l="0" t="0" r="9525" b="1206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lv-LV"/>
        </w:rPr>
        <w:drawing>
          <wp:inline distT="0" distB="0" distL="0" distR="0" wp14:anchorId="06CB0799" wp14:editId="35EF3A25">
            <wp:extent cx="3009900" cy="4978853"/>
            <wp:effectExtent l="0" t="0" r="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78D4" w:rsidRDefault="000278D4" w:rsidP="000278D4">
      <w:pPr>
        <w:spacing w:after="0" w:line="240" w:lineRule="auto"/>
        <w:ind w:firstLine="720"/>
        <w:jc w:val="both"/>
        <w:rPr>
          <w:rFonts w:ascii="Times New Roman" w:hAnsi="Times New Roman" w:cs="Times New Roman"/>
          <w:sz w:val="26"/>
          <w:szCs w:val="26"/>
        </w:rPr>
      </w:pPr>
    </w:p>
    <w:p w:rsidR="000278D4" w:rsidRDefault="000278D4" w:rsidP="000278D4">
      <w:pPr>
        <w:spacing w:after="0" w:line="240" w:lineRule="auto"/>
        <w:ind w:firstLine="720"/>
        <w:jc w:val="both"/>
        <w:rPr>
          <w:rFonts w:ascii="Times New Roman" w:hAnsi="Times New Roman" w:cs="Times New Roman"/>
          <w:sz w:val="26"/>
          <w:szCs w:val="26"/>
        </w:rPr>
      </w:pPr>
    </w:p>
    <w:p w:rsidR="000278D4" w:rsidRDefault="000278D4" w:rsidP="00175794">
      <w:pPr>
        <w:spacing w:after="0" w:line="240" w:lineRule="auto"/>
        <w:jc w:val="both"/>
        <w:rPr>
          <w:rFonts w:ascii="Times New Roman" w:hAnsi="Times New Roman" w:cs="Times New Roman"/>
          <w:sz w:val="26"/>
          <w:szCs w:val="26"/>
        </w:rPr>
      </w:pPr>
    </w:p>
    <w:p w:rsidR="00A85426" w:rsidRDefault="00A85426" w:rsidP="000278D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Vērtējot bāriņtiesu iedalījumu, atkarībā no pieņemto lēmumu apjoma, konstatējams, ka ik gadu </w:t>
      </w:r>
      <w:proofErr w:type="gramStart"/>
      <w:r>
        <w:rPr>
          <w:rFonts w:ascii="Times New Roman" w:hAnsi="Times New Roman" w:cs="Times New Roman"/>
          <w:sz w:val="26"/>
          <w:szCs w:val="26"/>
        </w:rPr>
        <w:t>vairāk kā</w:t>
      </w:r>
      <w:proofErr w:type="gramEnd"/>
      <w:r>
        <w:rPr>
          <w:rFonts w:ascii="Times New Roman" w:hAnsi="Times New Roman" w:cs="Times New Roman"/>
          <w:sz w:val="26"/>
          <w:szCs w:val="26"/>
        </w:rPr>
        <w:t xml:space="preserve"> 50% bāriņtiesās tiek pieņemti </w:t>
      </w:r>
      <w:r w:rsidRPr="00A85426">
        <w:rPr>
          <w:rFonts w:ascii="Times New Roman" w:hAnsi="Times New Roman" w:cs="Times New Roman"/>
          <w:b/>
          <w:sz w:val="26"/>
          <w:szCs w:val="26"/>
        </w:rPr>
        <w:t>līdz 50 lēmumiem</w:t>
      </w:r>
      <w:r>
        <w:rPr>
          <w:rFonts w:ascii="Times New Roman" w:hAnsi="Times New Roman" w:cs="Times New Roman"/>
          <w:sz w:val="26"/>
          <w:szCs w:val="26"/>
        </w:rPr>
        <w:t xml:space="preserve"> gadā. Proti,</w:t>
      </w:r>
      <w:r w:rsidR="00280CA2">
        <w:rPr>
          <w:rFonts w:ascii="Times New Roman" w:hAnsi="Times New Roman" w:cs="Times New Roman"/>
          <w:sz w:val="26"/>
          <w:szCs w:val="26"/>
        </w:rPr>
        <w:t xml:space="preserve"> </w:t>
      </w:r>
      <w:proofErr w:type="gramStart"/>
      <w:r w:rsidR="00280CA2">
        <w:rPr>
          <w:rFonts w:ascii="Times New Roman" w:hAnsi="Times New Roman" w:cs="Times New Roman"/>
          <w:sz w:val="26"/>
          <w:szCs w:val="26"/>
        </w:rPr>
        <w:t>2014.gadā</w:t>
      </w:r>
      <w:proofErr w:type="gramEnd"/>
      <w:r w:rsidR="00280CA2">
        <w:rPr>
          <w:rFonts w:ascii="Times New Roman" w:hAnsi="Times New Roman" w:cs="Times New Roman"/>
          <w:sz w:val="26"/>
          <w:szCs w:val="26"/>
        </w:rPr>
        <w:t xml:space="preserve"> 25 jeb 18% bāriņtiesu – 2016.gadā 21 jeb 15% bāriņtiesu pieņemti līdz 20 lēmumiem gadā. </w:t>
      </w:r>
      <w:r w:rsidR="00B42770">
        <w:rPr>
          <w:rFonts w:ascii="Times New Roman" w:hAnsi="Times New Roman" w:cs="Times New Roman"/>
          <w:sz w:val="26"/>
          <w:szCs w:val="26"/>
        </w:rPr>
        <w:t>Tostarp</w:t>
      </w:r>
      <w:r w:rsidR="00280CA2">
        <w:rPr>
          <w:rFonts w:ascii="Times New Roman" w:hAnsi="Times New Roman" w:cs="Times New Roman"/>
          <w:sz w:val="26"/>
          <w:szCs w:val="26"/>
        </w:rPr>
        <w:t xml:space="preserve"> </w:t>
      </w:r>
      <w:proofErr w:type="gramStart"/>
      <w:r w:rsidR="00280CA2">
        <w:rPr>
          <w:rFonts w:ascii="Times New Roman" w:hAnsi="Times New Roman" w:cs="Times New Roman"/>
          <w:sz w:val="26"/>
          <w:szCs w:val="26"/>
        </w:rPr>
        <w:t>2014.gadā</w:t>
      </w:r>
      <w:proofErr w:type="gramEnd"/>
      <w:r w:rsidR="00280CA2">
        <w:rPr>
          <w:rFonts w:ascii="Times New Roman" w:hAnsi="Times New Roman" w:cs="Times New Roman"/>
          <w:sz w:val="26"/>
          <w:szCs w:val="26"/>
        </w:rPr>
        <w:t xml:space="preserve"> 49 jeb 34% bāriņtiesu un 2016.gadā 54 jeb 39% bāriņtiesu pieņemti no 21 līdz 50 lēmumiem gadā.   </w:t>
      </w:r>
      <w:r>
        <w:rPr>
          <w:rFonts w:ascii="Times New Roman" w:hAnsi="Times New Roman" w:cs="Times New Roman"/>
          <w:sz w:val="26"/>
          <w:szCs w:val="26"/>
        </w:rPr>
        <w:t xml:space="preserve">   </w:t>
      </w:r>
    </w:p>
    <w:p w:rsidR="000278D4" w:rsidRDefault="000278D4" w:rsidP="000278D4">
      <w:pPr>
        <w:spacing w:after="0" w:line="240" w:lineRule="auto"/>
        <w:ind w:firstLine="720"/>
        <w:jc w:val="both"/>
        <w:rPr>
          <w:rFonts w:ascii="Times New Roman" w:hAnsi="Times New Roman" w:cs="Times New Roman"/>
          <w:sz w:val="26"/>
          <w:szCs w:val="26"/>
        </w:rPr>
      </w:pPr>
    </w:p>
    <w:p w:rsidR="00B42770" w:rsidRDefault="00B42770" w:rsidP="000278D4">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Savukārt Daugavpils pilsētas bāriņtiesā, Jelgavas pilsētas bāriņtiesā, Jūrmalas pilsētas bāriņtiesā, Liepājas pilsētas bāriņtiesā, Rīgas bāriņtiesā, Tukuma novada bāriņtiesā ik gadu tiek pieņemti </w:t>
      </w:r>
      <w:r w:rsidRPr="000278D4">
        <w:rPr>
          <w:rFonts w:ascii="Times New Roman" w:hAnsi="Times New Roman" w:cs="Times New Roman"/>
          <w:b/>
          <w:sz w:val="26"/>
          <w:szCs w:val="26"/>
        </w:rPr>
        <w:t>vairāk</w:t>
      </w:r>
      <w:r w:rsidR="00F44104" w:rsidRPr="000278D4">
        <w:rPr>
          <w:rFonts w:ascii="Times New Roman" w:hAnsi="Times New Roman" w:cs="Times New Roman"/>
          <w:b/>
          <w:sz w:val="26"/>
          <w:szCs w:val="26"/>
        </w:rPr>
        <w:t>,</w:t>
      </w:r>
      <w:r w:rsidRPr="000278D4">
        <w:rPr>
          <w:rFonts w:ascii="Times New Roman" w:hAnsi="Times New Roman" w:cs="Times New Roman"/>
          <w:b/>
          <w:sz w:val="26"/>
          <w:szCs w:val="26"/>
        </w:rPr>
        <w:t xml:space="preserve"> kā 201 lēmumi gadā</w:t>
      </w:r>
      <w:r>
        <w:rPr>
          <w:rFonts w:ascii="Times New Roman" w:hAnsi="Times New Roman" w:cs="Times New Roman"/>
          <w:sz w:val="26"/>
          <w:szCs w:val="26"/>
        </w:rPr>
        <w:t>.  Minētais rādītājs – pieņemti vairāk</w:t>
      </w:r>
      <w:r w:rsidR="00F44104">
        <w:rPr>
          <w:rFonts w:ascii="Times New Roman" w:hAnsi="Times New Roman" w:cs="Times New Roman"/>
          <w:sz w:val="26"/>
          <w:szCs w:val="26"/>
        </w:rPr>
        <w:t>,</w:t>
      </w:r>
      <w:r>
        <w:rPr>
          <w:rFonts w:ascii="Times New Roman" w:hAnsi="Times New Roman" w:cs="Times New Roman"/>
          <w:sz w:val="26"/>
          <w:szCs w:val="26"/>
        </w:rPr>
        <w:t xml:space="preserve"> kā 201 lēmumi</w:t>
      </w:r>
      <w:r w:rsidR="00F44104">
        <w:rPr>
          <w:rFonts w:ascii="Times New Roman" w:hAnsi="Times New Roman" w:cs="Times New Roman"/>
          <w:sz w:val="26"/>
          <w:szCs w:val="26"/>
        </w:rPr>
        <w:t xml:space="preserve"> </w:t>
      </w:r>
      <w:r w:rsidR="00175794">
        <w:rPr>
          <w:rFonts w:ascii="Times New Roman" w:hAnsi="Times New Roman" w:cs="Times New Roman"/>
          <w:sz w:val="26"/>
          <w:szCs w:val="26"/>
        </w:rPr>
        <w:t xml:space="preserve">gadā </w:t>
      </w:r>
      <w:r w:rsidR="00F44104">
        <w:rPr>
          <w:rFonts w:ascii="Times New Roman" w:hAnsi="Times New Roman" w:cs="Times New Roman"/>
          <w:sz w:val="26"/>
          <w:szCs w:val="26"/>
        </w:rPr>
        <w:t>-</w:t>
      </w:r>
      <w:r>
        <w:rPr>
          <w:rFonts w:ascii="Times New Roman" w:hAnsi="Times New Roman" w:cs="Times New Roman"/>
          <w:sz w:val="26"/>
          <w:szCs w:val="26"/>
        </w:rPr>
        <w:t xml:space="preserve"> </w:t>
      </w:r>
      <w:r w:rsidR="009873EA">
        <w:rPr>
          <w:rFonts w:ascii="Times New Roman" w:hAnsi="Times New Roman" w:cs="Times New Roman"/>
          <w:sz w:val="26"/>
          <w:szCs w:val="26"/>
        </w:rPr>
        <w:t>atsevišķos</w:t>
      </w:r>
      <w:r w:rsidR="00ED43BF">
        <w:rPr>
          <w:rFonts w:ascii="Times New Roman" w:hAnsi="Times New Roman" w:cs="Times New Roman"/>
          <w:sz w:val="26"/>
          <w:szCs w:val="26"/>
        </w:rPr>
        <w:t xml:space="preserve"> gados konstatēts, arīdza</w:t>
      </w:r>
      <w:r>
        <w:rPr>
          <w:rFonts w:ascii="Times New Roman" w:hAnsi="Times New Roman" w:cs="Times New Roman"/>
          <w:sz w:val="26"/>
          <w:szCs w:val="26"/>
        </w:rPr>
        <w:t xml:space="preserve">n Kuldīgas novada bāriņtiesā, Talsu novada bāriņtiesa, Ventspils pilsētas bāriņtiesa, Balvu novada bāriņtiesa, Saldus novada bāriņtiesā.  </w:t>
      </w:r>
      <w:r w:rsidR="00280CA2">
        <w:rPr>
          <w:rFonts w:ascii="Times New Roman" w:hAnsi="Times New Roman" w:cs="Times New Roman"/>
          <w:sz w:val="26"/>
          <w:szCs w:val="26"/>
        </w:rPr>
        <w:t xml:space="preserve"> </w:t>
      </w:r>
    </w:p>
    <w:p w:rsidR="000278D4" w:rsidRDefault="000278D4" w:rsidP="000278D4">
      <w:pPr>
        <w:spacing w:after="0" w:line="240" w:lineRule="auto"/>
        <w:ind w:firstLine="720"/>
        <w:jc w:val="both"/>
        <w:rPr>
          <w:rFonts w:ascii="Times New Roman" w:hAnsi="Times New Roman" w:cs="Times New Roman"/>
          <w:sz w:val="26"/>
          <w:szCs w:val="26"/>
        </w:rPr>
      </w:pPr>
    </w:p>
    <w:p w:rsidR="000278D4" w:rsidRDefault="000278D4" w:rsidP="000278D4">
      <w:pPr>
        <w:spacing w:after="0" w:line="240" w:lineRule="auto"/>
        <w:ind w:firstLine="72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640"/>
        <w:gridCol w:w="3640"/>
        <w:gridCol w:w="3640"/>
        <w:gridCol w:w="3640"/>
      </w:tblGrid>
      <w:tr w:rsidR="009E037C" w:rsidTr="0093105C">
        <w:tc>
          <w:tcPr>
            <w:tcW w:w="3640" w:type="dxa"/>
          </w:tcPr>
          <w:p w:rsidR="009E037C" w:rsidRDefault="009E037C" w:rsidP="0093105C">
            <w:pPr>
              <w:rPr>
                <w:rFonts w:ascii="Times New Roman" w:hAnsi="Times New Roman" w:cs="Times New Roman"/>
                <w:sz w:val="26"/>
                <w:szCs w:val="26"/>
              </w:rPr>
            </w:pP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2014. gads</w:t>
            </w: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2015. gads</w:t>
            </w: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2016. gads</w:t>
            </w:r>
          </w:p>
        </w:tc>
      </w:tr>
      <w:tr w:rsidR="009E037C" w:rsidTr="0093105C">
        <w:tc>
          <w:tcPr>
            <w:tcW w:w="3640" w:type="dxa"/>
          </w:tcPr>
          <w:p w:rsidR="009E037C" w:rsidRDefault="009E037C" w:rsidP="009E037C">
            <w:pPr>
              <w:rPr>
                <w:rFonts w:ascii="Times New Roman" w:hAnsi="Times New Roman" w:cs="Times New Roman"/>
                <w:sz w:val="26"/>
                <w:szCs w:val="26"/>
              </w:rPr>
            </w:pPr>
            <w:r>
              <w:rPr>
                <w:rFonts w:ascii="Times New Roman" w:hAnsi="Times New Roman" w:cs="Times New Roman"/>
                <w:sz w:val="26"/>
                <w:szCs w:val="26"/>
              </w:rPr>
              <w:t xml:space="preserve"> līdz 50 pieņemtiem lēmumiem</w:t>
            </w: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 xml:space="preserve">74 jeb </w:t>
            </w:r>
            <w:r w:rsidR="0063769E">
              <w:rPr>
                <w:rFonts w:ascii="Times New Roman" w:hAnsi="Times New Roman" w:cs="Times New Roman"/>
                <w:sz w:val="26"/>
                <w:szCs w:val="26"/>
              </w:rPr>
              <w:t>52</w:t>
            </w:r>
            <w:r>
              <w:rPr>
                <w:rFonts w:ascii="Times New Roman" w:hAnsi="Times New Roman" w:cs="Times New Roman"/>
                <w:sz w:val="26"/>
                <w:szCs w:val="26"/>
              </w:rPr>
              <w:t>% bāriņtiesu</w:t>
            </w:r>
          </w:p>
          <w:p w:rsidR="009E037C" w:rsidRDefault="009E037C" w:rsidP="0093105C">
            <w:pPr>
              <w:ind w:firstLine="720"/>
              <w:rPr>
                <w:rFonts w:ascii="Times New Roman" w:hAnsi="Times New Roman" w:cs="Times New Roman"/>
                <w:sz w:val="26"/>
                <w:szCs w:val="26"/>
              </w:rPr>
            </w:pPr>
          </w:p>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 xml:space="preserve">Kopsummā pieņemti </w:t>
            </w:r>
            <w:r w:rsidR="006B56F2">
              <w:rPr>
                <w:rFonts w:ascii="Times New Roman" w:hAnsi="Times New Roman" w:cs="Times New Roman"/>
                <w:sz w:val="26"/>
                <w:szCs w:val="26"/>
              </w:rPr>
              <w:t>2002</w:t>
            </w:r>
            <w:r>
              <w:rPr>
                <w:rFonts w:ascii="Times New Roman" w:hAnsi="Times New Roman" w:cs="Times New Roman"/>
                <w:sz w:val="26"/>
                <w:szCs w:val="26"/>
              </w:rPr>
              <w:t xml:space="preserve"> lēmumi (</w:t>
            </w:r>
            <w:r w:rsidR="006B56F2">
              <w:rPr>
                <w:rFonts w:ascii="Times New Roman" w:hAnsi="Times New Roman" w:cs="Times New Roman"/>
                <w:sz w:val="26"/>
                <w:szCs w:val="26"/>
              </w:rPr>
              <w:t>14</w:t>
            </w:r>
            <w:r>
              <w:rPr>
                <w:rFonts w:ascii="Times New Roman" w:hAnsi="Times New Roman" w:cs="Times New Roman"/>
                <w:sz w:val="26"/>
                <w:szCs w:val="26"/>
              </w:rPr>
              <w:t xml:space="preserve">%) no gadā pieņemtajiem </w:t>
            </w:r>
            <w:r w:rsidRPr="009E037C">
              <w:rPr>
                <w:rFonts w:ascii="Times New Roman" w:hAnsi="Times New Roman" w:cs="Times New Roman"/>
                <w:iCs/>
                <w:sz w:val="26"/>
                <w:szCs w:val="26"/>
              </w:rPr>
              <w:t>13 821</w:t>
            </w:r>
            <w:r>
              <w:rPr>
                <w:rFonts w:ascii="Times New Roman" w:hAnsi="Times New Roman" w:cs="Times New Roman"/>
                <w:sz w:val="26"/>
                <w:szCs w:val="26"/>
              </w:rPr>
              <w:t xml:space="preserve"> lēmumiem</w:t>
            </w:r>
          </w:p>
          <w:p w:rsidR="009E037C" w:rsidRDefault="009E037C" w:rsidP="0093105C">
            <w:pPr>
              <w:ind w:firstLine="720"/>
              <w:jc w:val="center"/>
              <w:rPr>
                <w:rFonts w:ascii="Times New Roman" w:hAnsi="Times New Roman" w:cs="Times New Roman"/>
                <w:sz w:val="26"/>
                <w:szCs w:val="26"/>
              </w:rPr>
            </w:pPr>
          </w:p>
          <w:p w:rsidR="009E037C" w:rsidRDefault="009E037C" w:rsidP="0093105C">
            <w:pPr>
              <w:jc w:val="center"/>
              <w:rPr>
                <w:rFonts w:ascii="Times New Roman" w:hAnsi="Times New Roman" w:cs="Times New Roman"/>
                <w:sz w:val="26"/>
                <w:szCs w:val="26"/>
              </w:rPr>
            </w:pPr>
          </w:p>
        </w:tc>
        <w:tc>
          <w:tcPr>
            <w:tcW w:w="3640" w:type="dxa"/>
          </w:tcPr>
          <w:p w:rsidR="009E037C" w:rsidRDefault="0063769E" w:rsidP="0093105C">
            <w:pPr>
              <w:jc w:val="center"/>
              <w:rPr>
                <w:rFonts w:ascii="Times New Roman" w:hAnsi="Times New Roman" w:cs="Times New Roman"/>
                <w:sz w:val="26"/>
                <w:szCs w:val="26"/>
              </w:rPr>
            </w:pPr>
            <w:r>
              <w:rPr>
                <w:rFonts w:ascii="Times New Roman" w:hAnsi="Times New Roman" w:cs="Times New Roman"/>
                <w:sz w:val="26"/>
                <w:szCs w:val="26"/>
              </w:rPr>
              <w:t>80</w:t>
            </w:r>
            <w:r w:rsidR="009E037C">
              <w:rPr>
                <w:rFonts w:ascii="Times New Roman" w:hAnsi="Times New Roman" w:cs="Times New Roman"/>
                <w:sz w:val="26"/>
                <w:szCs w:val="26"/>
              </w:rPr>
              <w:t xml:space="preserve"> jeb 5</w:t>
            </w:r>
            <w:r>
              <w:rPr>
                <w:rFonts w:ascii="Times New Roman" w:hAnsi="Times New Roman" w:cs="Times New Roman"/>
                <w:sz w:val="26"/>
                <w:szCs w:val="26"/>
              </w:rPr>
              <w:t>6</w:t>
            </w:r>
            <w:r w:rsidR="009E037C">
              <w:rPr>
                <w:rFonts w:ascii="Times New Roman" w:hAnsi="Times New Roman" w:cs="Times New Roman"/>
                <w:sz w:val="26"/>
                <w:szCs w:val="26"/>
              </w:rPr>
              <w:t xml:space="preserve"> % bāriņtiesu </w:t>
            </w:r>
          </w:p>
          <w:p w:rsidR="009E037C" w:rsidRDefault="009E037C" w:rsidP="0093105C">
            <w:pPr>
              <w:jc w:val="center"/>
              <w:rPr>
                <w:rFonts w:ascii="Times New Roman" w:hAnsi="Times New Roman" w:cs="Times New Roman"/>
                <w:sz w:val="26"/>
                <w:szCs w:val="26"/>
              </w:rPr>
            </w:pPr>
          </w:p>
          <w:p w:rsidR="009E037C" w:rsidRDefault="009E037C" w:rsidP="009E037C">
            <w:pPr>
              <w:jc w:val="center"/>
              <w:rPr>
                <w:rFonts w:ascii="Times New Roman" w:hAnsi="Times New Roman" w:cs="Times New Roman"/>
                <w:sz w:val="26"/>
                <w:szCs w:val="26"/>
              </w:rPr>
            </w:pPr>
            <w:r>
              <w:rPr>
                <w:rFonts w:ascii="Times New Roman" w:hAnsi="Times New Roman" w:cs="Times New Roman"/>
                <w:sz w:val="26"/>
                <w:szCs w:val="26"/>
              </w:rPr>
              <w:t xml:space="preserve">Kopsummā pieņemti </w:t>
            </w:r>
            <w:r w:rsidR="00360155">
              <w:rPr>
                <w:rFonts w:ascii="Times New Roman" w:hAnsi="Times New Roman" w:cs="Times New Roman"/>
                <w:sz w:val="26"/>
                <w:szCs w:val="26"/>
              </w:rPr>
              <w:t>2191</w:t>
            </w:r>
            <w:r>
              <w:rPr>
                <w:rFonts w:ascii="Times New Roman" w:hAnsi="Times New Roman" w:cs="Times New Roman"/>
                <w:sz w:val="26"/>
                <w:szCs w:val="26"/>
              </w:rPr>
              <w:t xml:space="preserve"> lēmumi (</w:t>
            </w:r>
            <w:r w:rsidR="00360155">
              <w:rPr>
                <w:rFonts w:ascii="Times New Roman" w:hAnsi="Times New Roman" w:cs="Times New Roman"/>
                <w:sz w:val="26"/>
                <w:szCs w:val="26"/>
              </w:rPr>
              <w:t>17</w:t>
            </w:r>
            <w:r>
              <w:rPr>
                <w:rFonts w:ascii="Times New Roman" w:hAnsi="Times New Roman" w:cs="Times New Roman"/>
                <w:sz w:val="26"/>
                <w:szCs w:val="26"/>
              </w:rPr>
              <w:t xml:space="preserve">%) no gadā pieņemtajiem </w:t>
            </w:r>
            <w:r w:rsidRPr="009E037C">
              <w:rPr>
                <w:rFonts w:ascii="Times New Roman" w:hAnsi="Times New Roman" w:cs="Times New Roman"/>
                <w:iCs/>
                <w:sz w:val="26"/>
                <w:szCs w:val="26"/>
              </w:rPr>
              <w:t>13 </w:t>
            </w:r>
            <w:r>
              <w:rPr>
                <w:rFonts w:ascii="Times New Roman" w:hAnsi="Times New Roman" w:cs="Times New Roman"/>
                <w:iCs/>
                <w:sz w:val="26"/>
                <w:szCs w:val="26"/>
              </w:rPr>
              <w:t>004</w:t>
            </w:r>
            <w:r>
              <w:rPr>
                <w:rFonts w:ascii="Times New Roman" w:hAnsi="Times New Roman" w:cs="Times New Roman"/>
                <w:sz w:val="26"/>
                <w:szCs w:val="26"/>
              </w:rPr>
              <w:t xml:space="preserve"> lēmumiem</w:t>
            </w:r>
          </w:p>
          <w:p w:rsidR="009E037C" w:rsidRDefault="009E037C" w:rsidP="0093105C">
            <w:pPr>
              <w:jc w:val="center"/>
              <w:rPr>
                <w:rFonts w:ascii="Times New Roman" w:hAnsi="Times New Roman" w:cs="Times New Roman"/>
                <w:sz w:val="26"/>
                <w:szCs w:val="26"/>
              </w:rPr>
            </w:pP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7</w:t>
            </w:r>
            <w:r w:rsidR="0063769E">
              <w:rPr>
                <w:rFonts w:ascii="Times New Roman" w:hAnsi="Times New Roman" w:cs="Times New Roman"/>
                <w:sz w:val="26"/>
                <w:szCs w:val="26"/>
              </w:rPr>
              <w:t>5</w:t>
            </w:r>
            <w:r>
              <w:rPr>
                <w:rFonts w:ascii="Times New Roman" w:hAnsi="Times New Roman" w:cs="Times New Roman"/>
                <w:sz w:val="26"/>
                <w:szCs w:val="26"/>
              </w:rPr>
              <w:t xml:space="preserve"> jeb 5</w:t>
            </w:r>
            <w:r w:rsidR="0063769E">
              <w:rPr>
                <w:rFonts w:ascii="Times New Roman" w:hAnsi="Times New Roman" w:cs="Times New Roman"/>
                <w:sz w:val="26"/>
                <w:szCs w:val="26"/>
              </w:rPr>
              <w:t>4</w:t>
            </w:r>
            <w:r>
              <w:rPr>
                <w:rFonts w:ascii="Times New Roman" w:hAnsi="Times New Roman" w:cs="Times New Roman"/>
                <w:sz w:val="26"/>
                <w:szCs w:val="26"/>
              </w:rPr>
              <w:t xml:space="preserve"> % bāriņtiesu</w:t>
            </w:r>
          </w:p>
          <w:p w:rsidR="009E037C" w:rsidRDefault="009E037C" w:rsidP="0093105C">
            <w:pPr>
              <w:jc w:val="center"/>
              <w:rPr>
                <w:rFonts w:ascii="Times New Roman" w:hAnsi="Times New Roman" w:cs="Times New Roman"/>
                <w:sz w:val="26"/>
                <w:szCs w:val="26"/>
              </w:rPr>
            </w:pPr>
          </w:p>
          <w:p w:rsidR="009E037C" w:rsidRDefault="009E037C" w:rsidP="009E037C">
            <w:pPr>
              <w:jc w:val="center"/>
              <w:rPr>
                <w:rFonts w:ascii="Times New Roman" w:hAnsi="Times New Roman" w:cs="Times New Roman"/>
                <w:sz w:val="26"/>
                <w:szCs w:val="26"/>
              </w:rPr>
            </w:pPr>
            <w:r>
              <w:rPr>
                <w:rFonts w:ascii="Times New Roman" w:hAnsi="Times New Roman" w:cs="Times New Roman"/>
                <w:sz w:val="26"/>
                <w:szCs w:val="26"/>
              </w:rPr>
              <w:t xml:space="preserve">Kopsummā pieņemti </w:t>
            </w:r>
            <w:r w:rsidR="009E2671">
              <w:rPr>
                <w:rFonts w:ascii="Times New Roman" w:hAnsi="Times New Roman" w:cs="Times New Roman"/>
                <w:sz w:val="26"/>
                <w:szCs w:val="26"/>
              </w:rPr>
              <w:t>2108</w:t>
            </w:r>
            <w:r>
              <w:rPr>
                <w:rFonts w:ascii="Times New Roman" w:hAnsi="Times New Roman" w:cs="Times New Roman"/>
                <w:sz w:val="26"/>
                <w:szCs w:val="26"/>
              </w:rPr>
              <w:t xml:space="preserve"> lēmumi (</w:t>
            </w:r>
            <w:r w:rsidR="009E2671">
              <w:rPr>
                <w:rFonts w:ascii="Times New Roman" w:hAnsi="Times New Roman" w:cs="Times New Roman"/>
                <w:sz w:val="26"/>
                <w:szCs w:val="26"/>
              </w:rPr>
              <w:t>16</w:t>
            </w:r>
            <w:r>
              <w:rPr>
                <w:rFonts w:ascii="Times New Roman" w:hAnsi="Times New Roman" w:cs="Times New Roman"/>
                <w:sz w:val="26"/>
                <w:szCs w:val="26"/>
              </w:rPr>
              <w:t xml:space="preserve">%) no gadā pieņemtajiem </w:t>
            </w:r>
            <w:r w:rsidRPr="009E037C">
              <w:rPr>
                <w:rFonts w:ascii="Times New Roman" w:hAnsi="Times New Roman" w:cs="Times New Roman"/>
                <w:iCs/>
                <w:sz w:val="26"/>
                <w:szCs w:val="26"/>
              </w:rPr>
              <w:t>13 </w:t>
            </w:r>
            <w:r>
              <w:rPr>
                <w:rFonts w:ascii="Times New Roman" w:hAnsi="Times New Roman" w:cs="Times New Roman"/>
                <w:iCs/>
                <w:sz w:val="26"/>
                <w:szCs w:val="26"/>
              </w:rPr>
              <w:t>228</w:t>
            </w:r>
            <w:r>
              <w:rPr>
                <w:rFonts w:ascii="Times New Roman" w:hAnsi="Times New Roman" w:cs="Times New Roman"/>
                <w:sz w:val="26"/>
                <w:szCs w:val="26"/>
              </w:rPr>
              <w:t xml:space="preserve"> lēmumiem</w:t>
            </w:r>
          </w:p>
          <w:p w:rsidR="009E037C" w:rsidRDefault="009E037C" w:rsidP="0093105C">
            <w:pPr>
              <w:jc w:val="center"/>
              <w:rPr>
                <w:rFonts w:ascii="Times New Roman" w:hAnsi="Times New Roman" w:cs="Times New Roman"/>
                <w:sz w:val="26"/>
                <w:szCs w:val="26"/>
              </w:rPr>
            </w:pPr>
          </w:p>
          <w:p w:rsidR="009E037C" w:rsidRDefault="009E037C" w:rsidP="0093105C">
            <w:pPr>
              <w:jc w:val="center"/>
              <w:rPr>
                <w:rFonts w:ascii="Times New Roman" w:hAnsi="Times New Roman" w:cs="Times New Roman"/>
                <w:sz w:val="26"/>
                <w:szCs w:val="26"/>
              </w:rPr>
            </w:pPr>
          </w:p>
        </w:tc>
      </w:tr>
      <w:tr w:rsidR="009E037C" w:rsidTr="0093105C">
        <w:trPr>
          <w:trHeight w:val="118"/>
        </w:trPr>
        <w:tc>
          <w:tcPr>
            <w:tcW w:w="3640" w:type="dxa"/>
          </w:tcPr>
          <w:p w:rsidR="009E037C" w:rsidRDefault="009E037C" w:rsidP="009E037C">
            <w:pPr>
              <w:rPr>
                <w:rFonts w:ascii="Times New Roman" w:hAnsi="Times New Roman" w:cs="Times New Roman"/>
                <w:sz w:val="26"/>
                <w:szCs w:val="26"/>
              </w:rPr>
            </w:pPr>
            <w:proofErr w:type="gramStart"/>
            <w:r>
              <w:rPr>
                <w:rFonts w:ascii="Times New Roman" w:hAnsi="Times New Roman" w:cs="Times New Roman"/>
                <w:sz w:val="26"/>
                <w:szCs w:val="26"/>
              </w:rPr>
              <w:t>Vairāk kā</w:t>
            </w:r>
            <w:proofErr w:type="gramEnd"/>
            <w:r>
              <w:rPr>
                <w:rFonts w:ascii="Times New Roman" w:hAnsi="Times New Roman" w:cs="Times New Roman"/>
                <w:sz w:val="26"/>
                <w:szCs w:val="26"/>
              </w:rPr>
              <w:t xml:space="preserve"> 201 pieņemts lēmums</w:t>
            </w: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 xml:space="preserve">9 jeb 6% bāriņtiesu </w:t>
            </w:r>
          </w:p>
          <w:p w:rsidR="009E037C" w:rsidRDefault="009E037C" w:rsidP="0093105C">
            <w:pPr>
              <w:jc w:val="center"/>
              <w:rPr>
                <w:rFonts w:ascii="Times New Roman" w:hAnsi="Times New Roman" w:cs="Times New Roman"/>
                <w:sz w:val="26"/>
                <w:szCs w:val="26"/>
              </w:rPr>
            </w:pPr>
          </w:p>
          <w:p w:rsidR="0063769E" w:rsidRDefault="0063769E" w:rsidP="0063769E">
            <w:pPr>
              <w:jc w:val="center"/>
              <w:rPr>
                <w:rFonts w:ascii="Times New Roman" w:hAnsi="Times New Roman" w:cs="Times New Roman"/>
                <w:sz w:val="26"/>
                <w:szCs w:val="26"/>
              </w:rPr>
            </w:pPr>
            <w:r>
              <w:rPr>
                <w:rFonts w:ascii="Times New Roman" w:hAnsi="Times New Roman" w:cs="Times New Roman"/>
                <w:sz w:val="26"/>
                <w:szCs w:val="26"/>
              </w:rPr>
              <w:t xml:space="preserve">Kopsummā pieņemti 6460 lēmumi (47%) no gadā pieņemtajiem </w:t>
            </w:r>
            <w:r w:rsidRPr="009E037C">
              <w:rPr>
                <w:rFonts w:ascii="Times New Roman" w:hAnsi="Times New Roman" w:cs="Times New Roman"/>
                <w:iCs/>
                <w:sz w:val="26"/>
                <w:szCs w:val="26"/>
              </w:rPr>
              <w:t>13 821</w:t>
            </w:r>
            <w:r>
              <w:rPr>
                <w:rFonts w:ascii="Times New Roman" w:hAnsi="Times New Roman" w:cs="Times New Roman"/>
                <w:sz w:val="26"/>
                <w:szCs w:val="26"/>
              </w:rPr>
              <w:t xml:space="preserve"> lēmumiem</w:t>
            </w:r>
          </w:p>
          <w:p w:rsidR="009E037C" w:rsidRDefault="009E037C" w:rsidP="0093105C">
            <w:pPr>
              <w:jc w:val="center"/>
              <w:rPr>
                <w:rFonts w:ascii="Times New Roman" w:hAnsi="Times New Roman" w:cs="Times New Roman"/>
                <w:sz w:val="26"/>
                <w:szCs w:val="26"/>
              </w:rPr>
            </w:pP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7 jeb 5% bāriņtiesu</w:t>
            </w:r>
          </w:p>
          <w:p w:rsidR="009E037C" w:rsidRDefault="009E037C" w:rsidP="0093105C">
            <w:pPr>
              <w:jc w:val="center"/>
              <w:rPr>
                <w:rFonts w:ascii="Times New Roman" w:hAnsi="Times New Roman" w:cs="Times New Roman"/>
                <w:sz w:val="26"/>
                <w:szCs w:val="26"/>
              </w:rPr>
            </w:pPr>
          </w:p>
          <w:p w:rsidR="0063769E" w:rsidRDefault="0063769E" w:rsidP="0063769E">
            <w:pPr>
              <w:jc w:val="center"/>
              <w:rPr>
                <w:rFonts w:ascii="Times New Roman" w:hAnsi="Times New Roman" w:cs="Times New Roman"/>
                <w:sz w:val="26"/>
                <w:szCs w:val="26"/>
              </w:rPr>
            </w:pPr>
            <w:r>
              <w:rPr>
                <w:rFonts w:ascii="Times New Roman" w:hAnsi="Times New Roman" w:cs="Times New Roman"/>
                <w:sz w:val="26"/>
                <w:szCs w:val="26"/>
              </w:rPr>
              <w:t xml:space="preserve">Kopsummā pieņemti 5536 lēmumi (43%) no gadā pieņemtajiem </w:t>
            </w:r>
            <w:r w:rsidRPr="009E037C">
              <w:rPr>
                <w:rFonts w:ascii="Times New Roman" w:hAnsi="Times New Roman" w:cs="Times New Roman"/>
                <w:iCs/>
                <w:sz w:val="26"/>
                <w:szCs w:val="26"/>
              </w:rPr>
              <w:t>13 </w:t>
            </w:r>
            <w:r>
              <w:rPr>
                <w:rFonts w:ascii="Times New Roman" w:hAnsi="Times New Roman" w:cs="Times New Roman"/>
                <w:iCs/>
                <w:sz w:val="26"/>
                <w:szCs w:val="26"/>
              </w:rPr>
              <w:t>004</w:t>
            </w:r>
            <w:r>
              <w:rPr>
                <w:rFonts w:ascii="Times New Roman" w:hAnsi="Times New Roman" w:cs="Times New Roman"/>
                <w:sz w:val="26"/>
                <w:szCs w:val="26"/>
              </w:rPr>
              <w:t xml:space="preserve"> lēmumiem</w:t>
            </w:r>
          </w:p>
          <w:p w:rsidR="009E037C" w:rsidRDefault="009E037C" w:rsidP="0093105C">
            <w:pPr>
              <w:jc w:val="center"/>
              <w:rPr>
                <w:rFonts w:ascii="Times New Roman" w:hAnsi="Times New Roman" w:cs="Times New Roman"/>
                <w:sz w:val="26"/>
                <w:szCs w:val="26"/>
              </w:rPr>
            </w:pPr>
          </w:p>
        </w:tc>
        <w:tc>
          <w:tcPr>
            <w:tcW w:w="3640" w:type="dxa"/>
          </w:tcPr>
          <w:p w:rsidR="009E037C" w:rsidRDefault="009E037C" w:rsidP="0093105C">
            <w:pPr>
              <w:jc w:val="center"/>
              <w:rPr>
                <w:rFonts w:ascii="Times New Roman" w:hAnsi="Times New Roman" w:cs="Times New Roman"/>
                <w:sz w:val="26"/>
                <w:szCs w:val="26"/>
              </w:rPr>
            </w:pPr>
            <w:r>
              <w:rPr>
                <w:rFonts w:ascii="Times New Roman" w:hAnsi="Times New Roman" w:cs="Times New Roman"/>
                <w:sz w:val="26"/>
                <w:szCs w:val="26"/>
              </w:rPr>
              <w:t xml:space="preserve">9 jeb </w:t>
            </w:r>
            <w:r w:rsidR="0063769E">
              <w:rPr>
                <w:rFonts w:ascii="Times New Roman" w:hAnsi="Times New Roman" w:cs="Times New Roman"/>
                <w:sz w:val="26"/>
                <w:szCs w:val="26"/>
              </w:rPr>
              <w:t>7</w:t>
            </w:r>
            <w:r>
              <w:rPr>
                <w:rFonts w:ascii="Times New Roman" w:hAnsi="Times New Roman" w:cs="Times New Roman"/>
                <w:sz w:val="26"/>
                <w:szCs w:val="26"/>
              </w:rPr>
              <w:t xml:space="preserve"> % bāriņtiesu</w:t>
            </w:r>
          </w:p>
          <w:p w:rsidR="009E037C" w:rsidRDefault="009E037C" w:rsidP="0093105C">
            <w:pPr>
              <w:jc w:val="center"/>
              <w:rPr>
                <w:rFonts w:ascii="Times New Roman" w:hAnsi="Times New Roman" w:cs="Times New Roman"/>
                <w:sz w:val="26"/>
                <w:szCs w:val="26"/>
              </w:rPr>
            </w:pPr>
          </w:p>
          <w:p w:rsidR="0063769E" w:rsidRDefault="0063769E" w:rsidP="0063769E">
            <w:pPr>
              <w:jc w:val="center"/>
              <w:rPr>
                <w:rFonts w:ascii="Times New Roman" w:hAnsi="Times New Roman" w:cs="Times New Roman"/>
                <w:sz w:val="26"/>
                <w:szCs w:val="26"/>
              </w:rPr>
            </w:pPr>
            <w:r>
              <w:rPr>
                <w:rFonts w:ascii="Times New Roman" w:hAnsi="Times New Roman" w:cs="Times New Roman"/>
                <w:sz w:val="26"/>
                <w:szCs w:val="26"/>
              </w:rPr>
              <w:t xml:space="preserve">Kopsummā pieņemti 6039 lēmumi (46%) no gadā pieņemtajiem </w:t>
            </w:r>
            <w:r w:rsidRPr="009E037C">
              <w:rPr>
                <w:rFonts w:ascii="Times New Roman" w:hAnsi="Times New Roman" w:cs="Times New Roman"/>
                <w:iCs/>
                <w:sz w:val="26"/>
                <w:szCs w:val="26"/>
              </w:rPr>
              <w:t>13 </w:t>
            </w:r>
            <w:r>
              <w:rPr>
                <w:rFonts w:ascii="Times New Roman" w:hAnsi="Times New Roman" w:cs="Times New Roman"/>
                <w:iCs/>
                <w:sz w:val="26"/>
                <w:szCs w:val="26"/>
              </w:rPr>
              <w:t>228</w:t>
            </w:r>
            <w:r>
              <w:rPr>
                <w:rFonts w:ascii="Times New Roman" w:hAnsi="Times New Roman" w:cs="Times New Roman"/>
                <w:sz w:val="26"/>
                <w:szCs w:val="26"/>
              </w:rPr>
              <w:t xml:space="preserve"> lēmumiem</w:t>
            </w:r>
          </w:p>
          <w:p w:rsidR="009E037C" w:rsidRDefault="009E037C" w:rsidP="0093105C">
            <w:pPr>
              <w:jc w:val="center"/>
              <w:rPr>
                <w:rFonts w:ascii="Times New Roman" w:hAnsi="Times New Roman" w:cs="Times New Roman"/>
                <w:sz w:val="26"/>
                <w:szCs w:val="26"/>
              </w:rPr>
            </w:pPr>
          </w:p>
        </w:tc>
      </w:tr>
    </w:tbl>
    <w:p w:rsidR="000278D4" w:rsidRDefault="000278D4" w:rsidP="00B42770">
      <w:pPr>
        <w:ind w:firstLine="720"/>
        <w:rPr>
          <w:rFonts w:ascii="Times New Roman" w:hAnsi="Times New Roman" w:cs="Times New Roman"/>
          <w:sz w:val="26"/>
          <w:szCs w:val="26"/>
        </w:rPr>
      </w:pPr>
    </w:p>
    <w:p w:rsidR="000278D4" w:rsidRDefault="000278D4" w:rsidP="00B42770">
      <w:pPr>
        <w:ind w:firstLine="720"/>
        <w:rPr>
          <w:rFonts w:ascii="Times New Roman" w:hAnsi="Times New Roman" w:cs="Times New Roman"/>
          <w:sz w:val="26"/>
          <w:szCs w:val="26"/>
        </w:rPr>
      </w:pPr>
    </w:p>
    <w:p w:rsidR="000278D4" w:rsidRDefault="000278D4" w:rsidP="00C91E65">
      <w:pPr>
        <w:rPr>
          <w:rFonts w:ascii="Times New Roman" w:hAnsi="Times New Roman" w:cs="Times New Roman"/>
          <w:sz w:val="26"/>
          <w:szCs w:val="26"/>
        </w:rPr>
      </w:pPr>
    </w:p>
    <w:p w:rsidR="00175794" w:rsidRDefault="00175794" w:rsidP="00C91E65">
      <w:pPr>
        <w:rPr>
          <w:rFonts w:ascii="Times New Roman" w:hAnsi="Times New Roman" w:cs="Times New Roman"/>
          <w:sz w:val="26"/>
          <w:szCs w:val="26"/>
        </w:rPr>
      </w:pPr>
    </w:p>
    <w:p w:rsidR="00C91E65" w:rsidRPr="006052E9" w:rsidRDefault="00C91E65" w:rsidP="009873EA">
      <w:pPr>
        <w:jc w:val="center"/>
        <w:rPr>
          <w:rFonts w:ascii="Times New Roman" w:hAnsi="Times New Roman" w:cs="Times New Roman"/>
          <w:sz w:val="26"/>
          <w:szCs w:val="26"/>
        </w:rPr>
      </w:pPr>
    </w:p>
    <w:p w:rsidR="00AC32CF" w:rsidRPr="00B42770" w:rsidRDefault="00AC32CF" w:rsidP="009873EA">
      <w:pPr>
        <w:ind w:firstLine="720"/>
        <w:jc w:val="center"/>
        <w:rPr>
          <w:rFonts w:ascii="Times New Roman" w:hAnsi="Times New Roman" w:cs="Times New Roman"/>
          <w:sz w:val="26"/>
          <w:szCs w:val="26"/>
        </w:rPr>
      </w:pPr>
      <w:r w:rsidRPr="00AC32CF">
        <w:rPr>
          <w:rFonts w:ascii="Times New Roman" w:hAnsi="Times New Roman" w:cs="Times New Roman"/>
          <w:b/>
          <w:sz w:val="40"/>
          <w:szCs w:val="40"/>
        </w:rPr>
        <w:lastRenderedPageBreak/>
        <w:t>7.10. Pārskata gadā ierosināto lietu skaits bāriņtiesās</w:t>
      </w:r>
    </w:p>
    <w:p w:rsidR="00AC32CF" w:rsidRDefault="00AC32CF" w:rsidP="00AC32CF">
      <w:pPr>
        <w:jc w:val="center"/>
        <w:rPr>
          <w:rFonts w:ascii="Times New Roman" w:hAnsi="Times New Roman" w:cs="Times New Roman"/>
          <w:b/>
          <w:sz w:val="40"/>
          <w:szCs w:val="40"/>
        </w:rPr>
      </w:pPr>
    </w:p>
    <w:p w:rsidR="00751C08" w:rsidRDefault="00751C08" w:rsidP="00B42770">
      <w:pPr>
        <w:jc w:val="center"/>
        <w:rPr>
          <w:rFonts w:ascii="Times New Roman" w:hAnsi="Times New Roman" w:cs="Times New Roman"/>
          <w:b/>
          <w:sz w:val="40"/>
          <w:szCs w:val="40"/>
        </w:rPr>
      </w:pPr>
      <w:r>
        <w:rPr>
          <w:noProof/>
          <w:lang w:eastAsia="lv-LV"/>
        </w:rPr>
        <w:drawing>
          <wp:inline distT="0" distB="0" distL="0" distR="0" wp14:anchorId="156CE9EE" wp14:editId="0E56FE98">
            <wp:extent cx="8010525" cy="48768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D6DA1" w:rsidRPr="006052E9" w:rsidRDefault="00751C08" w:rsidP="006052E9">
      <w:pPr>
        <w:jc w:val="center"/>
        <w:rPr>
          <w:b/>
          <w:bCs/>
          <w:sz w:val="40"/>
          <w:szCs w:val="40"/>
        </w:rPr>
      </w:pPr>
      <w:r w:rsidRPr="00D74C2C">
        <w:rPr>
          <w:b/>
          <w:bCs/>
          <w:sz w:val="40"/>
          <w:szCs w:val="40"/>
        </w:rPr>
        <w:t xml:space="preserve">Bāriņtiesu iedalījums %, atkarībā no gadā </w:t>
      </w:r>
      <w:r w:rsidR="006D6DA1">
        <w:rPr>
          <w:b/>
          <w:bCs/>
          <w:sz w:val="40"/>
          <w:szCs w:val="40"/>
        </w:rPr>
        <w:t>ierosināto lietu</w:t>
      </w:r>
      <w:r w:rsidRPr="00D74C2C">
        <w:rPr>
          <w:b/>
          <w:bCs/>
          <w:sz w:val="40"/>
          <w:szCs w:val="40"/>
        </w:rPr>
        <w:t xml:space="preserve"> apjoma </w:t>
      </w:r>
    </w:p>
    <w:p w:rsidR="006052E9" w:rsidRDefault="006D6DA1" w:rsidP="00533BE0">
      <w:pPr>
        <w:jc w:val="both"/>
        <w:rPr>
          <w:rFonts w:ascii="Times New Roman" w:hAnsi="Times New Roman" w:cs="Times New Roman"/>
          <w:b/>
          <w:sz w:val="40"/>
          <w:szCs w:val="40"/>
        </w:rPr>
      </w:pPr>
      <w:r>
        <w:rPr>
          <w:noProof/>
          <w:lang w:eastAsia="lv-LV"/>
        </w:rPr>
        <w:lastRenderedPageBreak/>
        <w:drawing>
          <wp:inline distT="0" distB="0" distL="0" distR="0" wp14:anchorId="13FD8146" wp14:editId="7F552428">
            <wp:extent cx="2971800" cy="42100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eastAsia="lv-LV"/>
        </w:rPr>
        <w:drawing>
          <wp:inline distT="0" distB="0" distL="0" distR="0" wp14:anchorId="5BEBE159" wp14:editId="03310633">
            <wp:extent cx="3124200" cy="42291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lang w:eastAsia="lv-LV"/>
        </w:rPr>
        <w:drawing>
          <wp:inline distT="0" distB="0" distL="0" distR="0" wp14:anchorId="71473CF7" wp14:editId="54FAB376">
            <wp:extent cx="3076575" cy="42481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51C08" w:rsidRDefault="00751C08" w:rsidP="006052E9">
      <w:pPr>
        <w:ind w:firstLine="720"/>
        <w:rPr>
          <w:rFonts w:ascii="Times New Roman" w:hAnsi="Times New Roman" w:cs="Times New Roman"/>
          <w:sz w:val="26"/>
          <w:szCs w:val="26"/>
        </w:rPr>
      </w:pPr>
    </w:p>
    <w:p w:rsidR="000278D4" w:rsidRDefault="000278D4" w:rsidP="006052E9">
      <w:pPr>
        <w:ind w:firstLine="720"/>
        <w:rPr>
          <w:rFonts w:ascii="Times New Roman" w:hAnsi="Times New Roman" w:cs="Times New Roman"/>
          <w:sz w:val="26"/>
          <w:szCs w:val="26"/>
        </w:rPr>
      </w:pPr>
    </w:p>
    <w:p w:rsidR="000278D4" w:rsidRDefault="000278D4" w:rsidP="006052E9">
      <w:pPr>
        <w:ind w:firstLine="720"/>
        <w:rPr>
          <w:rFonts w:ascii="Times New Roman" w:hAnsi="Times New Roman" w:cs="Times New Roman"/>
          <w:sz w:val="26"/>
          <w:szCs w:val="26"/>
        </w:rPr>
      </w:pPr>
    </w:p>
    <w:p w:rsidR="000278D4" w:rsidRDefault="000278D4" w:rsidP="006052E9">
      <w:pPr>
        <w:ind w:firstLine="720"/>
        <w:rPr>
          <w:rFonts w:ascii="Times New Roman" w:hAnsi="Times New Roman" w:cs="Times New Roman"/>
          <w:sz w:val="26"/>
          <w:szCs w:val="26"/>
        </w:rPr>
      </w:pPr>
    </w:p>
    <w:p w:rsidR="00175794" w:rsidRDefault="00260BD6" w:rsidP="00A23B59">
      <w:pPr>
        <w:ind w:firstLine="720"/>
        <w:rPr>
          <w:rFonts w:ascii="Times New Roman" w:hAnsi="Times New Roman" w:cs="Times New Roman"/>
          <w:sz w:val="26"/>
          <w:szCs w:val="26"/>
        </w:rPr>
      </w:pPr>
      <w:r>
        <w:rPr>
          <w:rFonts w:ascii="Times New Roman" w:hAnsi="Times New Roman" w:cs="Times New Roman"/>
          <w:sz w:val="26"/>
          <w:szCs w:val="26"/>
        </w:rPr>
        <w:t xml:space="preserve">Vērtējot bāriņtiesu iedalījumu, atkarībā no ierosināto lietu apjoma, konstatējams, ka </w:t>
      </w:r>
      <w:r w:rsidR="00175794">
        <w:rPr>
          <w:rFonts w:ascii="Times New Roman" w:hAnsi="Times New Roman" w:cs="Times New Roman"/>
          <w:sz w:val="26"/>
          <w:szCs w:val="26"/>
        </w:rPr>
        <w:t xml:space="preserve">vairāk kā 50% bāriņtiesu gadā tiek ierosinātas no </w:t>
      </w:r>
      <w:r w:rsidR="00175794" w:rsidRPr="00A81509">
        <w:rPr>
          <w:rFonts w:ascii="Times New Roman" w:hAnsi="Times New Roman" w:cs="Times New Roman"/>
          <w:b/>
          <w:sz w:val="26"/>
          <w:szCs w:val="26"/>
          <w:u w:val="single"/>
        </w:rPr>
        <w:t>0 līdz 20 lietām</w:t>
      </w:r>
      <w:proofErr w:type="gramStart"/>
      <w:r w:rsidR="00175794">
        <w:rPr>
          <w:rFonts w:ascii="Times New Roman" w:hAnsi="Times New Roman" w:cs="Times New Roman"/>
          <w:sz w:val="26"/>
          <w:szCs w:val="26"/>
        </w:rPr>
        <w:t xml:space="preserve"> .</w:t>
      </w:r>
      <w:proofErr w:type="gramEnd"/>
    </w:p>
    <w:p w:rsidR="00A23B59" w:rsidRDefault="00175794" w:rsidP="00A23B59">
      <w:pPr>
        <w:ind w:firstLine="720"/>
        <w:rPr>
          <w:rFonts w:ascii="Times New Roman" w:hAnsi="Times New Roman" w:cs="Times New Roman"/>
          <w:sz w:val="26"/>
          <w:szCs w:val="26"/>
        </w:rPr>
      </w:pPr>
      <w:r>
        <w:rPr>
          <w:rFonts w:ascii="Times New Roman" w:hAnsi="Times New Roman" w:cs="Times New Roman"/>
          <w:sz w:val="26"/>
          <w:szCs w:val="26"/>
        </w:rPr>
        <w:lastRenderedPageBreak/>
        <w:t xml:space="preserve">Savukārt </w:t>
      </w:r>
      <w:r w:rsidR="00A23B59">
        <w:rPr>
          <w:rFonts w:ascii="Times New Roman" w:hAnsi="Times New Roman" w:cs="Times New Roman"/>
          <w:sz w:val="26"/>
          <w:szCs w:val="26"/>
        </w:rPr>
        <w:t xml:space="preserve">Daugavpils pilsētas bāriņtiesā, Jelgavas pilsētas bāriņtiesā, Liepājas pilsētas bāriņtiesā, Rīgas bāriņtiesā, Jūrmalas pilsētas bāriņtiesā, Salaspils novada bāriņtiesā, Tukuma novada bāriņtiesā ik gadu tiek ierosinātas </w:t>
      </w:r>
      <w:r w:rsidR="00A23B59" w:rsidRPr="000278D4">
        <w:rPr>
          <w:rFonts w:ascii="Times New Roman" w:hAnsi="Times New Roman" w:cs="Times New Roman"/>
          <w:b/>
          <w:sz w:val="26"/>
          <w:szCs w:val="26"/>
          <w:u w:val="single"/>
        </w:rPr>
        <w:t>vairāk, kā 101 lietas</w:t>
      </w:r>
      <w:r w:rsidR="00A23B59">
        <w:rPr>
          <w:rFonts w:ascii="Times New Roman" w:hAnsi="Times New Roman" w:cs="Times New Roman"/>
          <w:sz w:val="26"/>
          <w:szCs w:val="26"/>
        </w:rPr>
        <w:t xml:space="preserve">. Minētais rādītājs – ierosinātas </w:t>
      </w:r>
      <w:proofErr w:type="gramStart"/>
      <w:r w:rsidR="00A23B59">
        <w:rPr>
          <w:rFonts w:ascii="Times New Roman" w:hAnsi="Times New Roman" w:cs="Times New Roman"/>
          <w:sz w:val="26"/>
          <w:szCs w:val="26"/>
        </w:rPr>
        <w:t>vairāk kā</w:t>
      </w:r>
      <w:proofErr w:type="gramEnd"/>
      <w:r w:rsidR="00A23B59">
        <w:rPr>
          <w:rFonts w:ascii="Times New Roman" w:hAnsi="Times New Roman" w:cs="Times New Roman"/>
          <w:sz w:val="26"/>
          <w:szCs w:val="26"/>
        </w:rPr>
        <w:t xml:space="preserve"> 101 lietas - </w:t>
      </w:r>
      <w:r w:rsidR="009873EA">
        <w:rPr>
          <w:rFonts w:ascii="Times New Roman" w:hAnsi="Times New Roman" w:cs="Times New Roman"/>
          <w:sz w:val="26"/>
          <w:szCs w:val="26"/>
        </w:rPr>
        <w:t>atsevišķos</w:t>
      </w:r>
      <w:r w:rsidR="00502CCA">
        <w:rPr>
          <w:rFonts w:ascii="Times New Roman" w:hAnsi="Times New Roman" w:cs="Times New Roman"/>
          <w:sz w:val="26"/>
          <w:szCs w:val="26"/>
        </w:rPr>
        <w:t xml:space="preserve"> gados konstatēts, arīdza</w:t>
      </w:r>
      <w:r w:rsidR="00A23B59">
        <w:rPr>
          <w:rFonts w:ascii="Times New Roman" w:hAnsi="Times New Roman" w:cs="Times New Roman"/>
          <w:sz w:val="26"/>
          <w:szCs w:val="26"/>
        </w:rPr>
        <w:t xml:space="preserve">n, Jēkabpils bāriņtiesā; Ogres novada Ogres bāriņtiesā, Valmieras bāriņtiesā un Saldus novada bāriņtiesā.   </w:t>
      </w:r>
    </w:p>
    <w:p w:rsidR="00A81509" w:rsidRDefault="00A81509" w:rsidP="006052E9">
      <w:pPr>
        <w:ind w:firstLine="720"/>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640"/>
        <w:gridCol w:w="3640"/>
        <w:gridCol w:w="3640"/>
        <w:gridCol w:w="3640"/>
      </w:tblGrid>
      <w:tr w:rsidR="00D73028" w:rsidTr="00D73028">
        <w:tc>
          <w:tcPr>
            <w:tcW w:w="3640" w:type="dxa"/>
          </w:tcPr>
          <w:p w:rsidR="00D73028" w:rsidRDefault="00D73028" w:rsidP="006052E9">
            <w:pPr>
              <w:rPr>
                <w:rFonts w:ascii="Times New Roman" w:hAnsi="Times New Roman" w:cs="Times New Roman"/>
                <w:sz w:val="26"/>
                <w:szCs w:val="26"/>
              </w:rPr>
            </w:pP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2014. gads</w:t>
            </w: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2015. gads</w:t>
            </w: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2016. gads</w:t>
            </w:r>
          </w:p>
        </w:tc>
      </w:tr>
      <w:tr w:rsidR="00D73028" w:rsidTr="00D73028">
        <w:tc>
          <w:tcPr>
            <w:tcW w:w="3640" w:type="dxa"/>
          </w:tcPr>
          <w:p w:rsidR="00D73028" w:rsidRDefault="00D73028" w:rsidP="00D73028">
            <w:pPr>
              <w:rPr>
                <w:rFonts w:ascii="Times New Roman" w:hAnsi="Times New Roman" w:cs="Times New Roman"/>
                <w:sz w:val="26"/>
                <w:szCs w:val="26"/>
              </w:rPr>
            </w:pPr>
            <w:r>
              <w:rPr>
                <w:rFonts w:ascii="Times New Roman" w:hAnsi="Times New Roman" w:cs="Times New Roman"/>
                <w:sz w:val="26"/>
                <w:szCs w:val="26"/>
              </w:rPr>
              <w:t>0 līdz 20 ierosinātas lietas</w:t>
            </w: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69 jeb 49% bāriņtiesu</w:t>
            </w:r>
          </w:p>
          <w:p w:rsidR="00D73028" w:rsidRDefault="00D73028" w:rsidP="00D73028">
            <w:pPr>
              <w:ind w:firstLine="720"/>
              <w:rPr>
                <w:rFonts w:ascii="Times New Roman" w:hAnsi="Times New Roman" w:cs="Times New Roman"/>
                <w:sz w:val="26"/>
                <w:szCs w:val="26"/>
              </w:rPr>
            </w:pPr>
          </w:p>
          <w:p w:rsidR="00E61694" w:rsidRDefault="00E61694" w:rsidP="00E61694">
            <w:pPr>
              <w:jc w:val="center"/>
              <w:rPr>
                <w:rFonts w:ascii="Times New Roman" w:hAnsi="Times New Roman" w:cs="Times New Roman"/>
                <w:sz w:val="26"/>
                <w:szCs w:val="26"/>
              </w:rPr>
            </w:pPr>
            <w:r>
              <w:rPr>
                <w:rFonts w:ascii="Times New Roman" w:hAnsi="Times New Roman" w:cs="Times New Roman"/>
                <w:sz w:val="26"/>
                <w:szCs w:val="26"/>
              </w:rPr>
              <w:t>Kopsummā ierosināta 795 lietas (13%) no gadā ierosinātajām 6241 lietām</w:t>
            </w:r>
          </w:p>
          <w:p w:rsidR="00D73028" w:rsidRDefault="00D73028" w:rsidP="00D73028">
            <w:pPr>
              <w:ind w:firstLine="720"/>
              <w:jc w:val="center"/>
              <w:rPr>
                <w:rFonts w:ascii="Times New Roman" w:hAnsi="Times New Roman" w:cs="Times New Roman"/>
                <w:sz w:val="26"/>
                <w:szCs w:val="26"/>
              </w:rPr>
            </w:pPr>
          </w:p>
          <w:p w:rsidR="00D73028" w:rsidRDefault="00D73028" w:rsidP="00D73028">
            <w:pPr>
              <w:jc w:val="center"/>
              <w:rPr>
                <w:rFonts w:ascii="Times New Roman" w:hAnsi="Times New Roman" w:cs="Times New Roman"/>
                <w:sz w:val="26"/>
                <w:szCs w:val="26"/>
              </w:rPr>
            </w:pP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 xml:space="preserve">79 jeb 55 % bāriņtiesu </w:t>
            </w:r>
          </w:p>
          <w:p w:rsidR="00E61694" w:rsidRDefault="00E61694" w:rsidP="00D73028">
            <w:pPr>
              <w:jc w:val="center"/>
              <w:rPr>
                <w:rFonts w:ascii="Times New Roman" w:hAnsi="Times New Roman" w:cs="Times New Roman"/>
                <w:sz w:val="26"/>
                <w:szCs w:val="26"/>
              </w:rPr>
            </w:pPr>
          </w:p>
          <w:p w:rsidR="00E61694" w:rsidRDefault="00E61694" w:rsidP="00E61694">
            <w:pPr>
              <w:jc w:val="center"/>
              <w:rPr>
                <w:rFonts w:ascii="Times New Roman" w:hAnsi="Times New Roman" w:cs="Times New Roman"/>
                <w:sz w:val="26"/>
                <w:szCs w:val="26"/>
              </w:rPr>
            </w:pPr>
            <w:r>
              <w:rPr>
                <w:rFonts w:ascii="Times New Roman" w:hAnsi="Times New Roman" w:cs="Times New Roman"/>
                <w:sz w:val="26"/>
                <w:szCs w:val="26"/>
              </w:rPr>
              <w:t xml:space="preserve">Kopsummā ierosinātas </w:t>
            </w:r>
            <w:r w:rsidR="007669BF">
              <w:rPr>
                <w:rFonts w:ascii="Times New Roman" w:hAnsi="Times New Roman" w:cs="Times New Roman"/>
                <w:sz w:val="26"/>
                <w:szCs w:val="26"/>
              </w:rPr>
              <w:t>944</w:t>
            </w:r>
            <w:r>
              <w:rPr>
                <w:rFonts w:ascii="Times New Roman" w:hAnsi="Times New Roman" w:cs="Times New Roman"/>
                <w:sz w:val="26"/>
                <w:szCs w:val="26"/>
              </w:rPr>
              <w:t xml:space="preserve"> lietas (</w:t>
            </w:r>
            <w:r w:rsidR="007669BF">
              <w:rPr>
                <w:rFonts w:ascii="Times New Roman" w:hAnsi="Times New Roman" w:cs="Times New Roman"/>
                <w:sz w:val="26"/>
                <w:szCs w:val="26"/>
              </w:rPr>
              <w:t>16</w:t>
            </w:r>
            <w:r>
              <w:rPr>
                <w:rFonts w:ascii="Times New Roman" w:hAnsi="Times New Roman" w:cs="Times New Roman"/>
                <w:sz w:val="26"/>
                <w:szCs w:val="26"/>
              </w:rPr>
              <w:t>%) no gadā ierosinātajām 5954 lietām</w:t>
            </w:r>
          </w:p>
          <w:p w:rsidR="00E61694" w:rsidRDefault="00E61694" w:rsidP="00D73028">
            <w:pPr>
              <w:jc w:val="center"/>
              <w:rPr>
                <w:rFonts w:ascii="Times New Roman" w:hAnsi="Times New Roman" w:cs="Times New Roman"/>
                <w:sz w:val="26"/>
                <w:szCs w:val="26"/>
              </w:rPr>
            </w:pP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79 jeb 57 % bāriņtiesu</w:t>
            </w:r>
          </w:p>
          <w:p w:rsidR="00E61694" w:rsidRDefault="00E61694" w:rsidP="00D73028">
            <w:pPr>
              <w:jc w:val="center"/>
              <w:rPr>
                <w:rFonts w:ascii="Times New Roman" w:hAnsi="Times New Roman" w:cs="Times New Roman"/>
                <w:sz w:val="26"/>
                <w:szCs w:val="26"/>
              </w:rPr>
            </w:pPr>
          </w:p>
          <w:p w:rsidR="00E61694" w:rsidRDefault="00E61694" w:rsidP="00E61694">
            <w:pPr>
              <w:jc w:val="center"/>
              <w:rPr>
                <w:rFonts w:ascii="Times New Roman" w:hAnsi="Times New Roman" w:cs="Times New Roman"/>
                <w:sz w:val="26"/>
                <w:szCs w:val="26"/>
              </w:rPr>
            </w:pPr>
            <w:r>
              <w:rPr>
                <w:rFonts w:ascii="Times New Roman" w:hAnsi="Times New Roman" w:cs="Times New Roman"/>
                <w:sz w:val="26"/>
                <w:szCs w:val="26"/>
              </w:rPr>
              <w:t>Kopsummā ierosinātas 888 lietas (14%) no gadā ierosinātajām 6353 lietām</w:t>
            </w:r>
          </w:p>
          <w:p w:rsidR="00E61694" w:rsidRDefault="00E61694" w:rsidP="00D73028">
            <w:pPr>
              <w:jc w:val="center"/>
              <w:rPr>
                <w:rFonts w:ascii="Times New Roman" w:hAnsi="Times New Roman" w:cs="Times New Roman"/>
                <w:sz w:val="26"/>
                <w:szCs w:val="26"/>
              </w:rPr>
            </w:pPr>
          </w:p>
          <w:p w:rsidR="00E61694" w:rsidRDefault="00E61694" w:rsidP="00D73028">
            <w:pPr>
              <w:jc w:val="center"/>
              <w:rPr>
                <w:rFonts w:ascii="Times New Roman" w:hAnsi="Times New Roman" w:cs="Times New Roman"/>
                <w:sz w:val="26"/>
                <w:szCs w:val="26"/>
              </w:rPr>
            </w:pPr>
          </w:p>
          <w:p w:rsidR="00E61694" w:rsidRDefault="00E61694" w:rsidP="00D73028">
            <w:pPr>
              <w:jc w:val="center"/>
              <w:rPr>
                <w:rFonts w:ascii="Times New Roman" w:hAnsi="Times New Roman" w:cs="Times New Roman"/>
                <w:sz w:val="26"/>
                <w:szCs w:val="26"/>
              </w:rPr>
            </w:pPr>
          </w:p>
        </w:tc>
      </w:tr>
      <w:tr w:rsidR="00D73028" w:rsidTr="00D73028">
        <w:trPr>
          <w:trHeight w:val="118"/>
        </w:trPr>
        <w:tc>
          <w:tcPr>
            <w:tcW w:w="3640" w:type="dxa"/>
          </w:tcPr>
          <w:p w:rsidR="00D73028" w:rsidRDefault="00D73028" w:rsidP="006052E9">
            <w:pPr>
              <w:rPr>
                <w:rFonts w:ascii="Times New Roman" w:hAnsi="Times New Roman" w:cs="Times New Roman"/>
                <w:sz w:val="26"/>
                <w:szCs w:val="26"/>
              </w:rPr>
            </w:pPr>
            <w:proofErr w:type="gramStart"/>
            <w:r>
              <w:rPr>
                <w:rFonts w:ascii="Times New Roman" w:hAnsi="Times New Roman" w:cs="Times New Roman"/>
                <w:sz w:val="26"/>
                <w:szCs w:val="26"/>
              </w:rPr>
              <w:t>Vairāk kā</w:t>
            </w:r>
            <w:proofErr w:type="gramEnd"/>
            <w:r>
              <w:rPr>
                <w:rFonts w:ascii="Times New Roman" w:hAnsi="Times New Roman" w:cs="Times New Roman"/>
                <w:sz w:val="26"/>
                <w:szCs w:val="26"/>
              </w:rPr>
              <w:t xml:space="preserve"> 101 ierosinātas lietas</w:t>
            </w: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 xml:space="preserve">9 jeb 6% bāriņtiesu </w:t>
            </w:r>
          </w:p>
          <w:p w:rsidR="00D73028" w:rsidRDefault="00D73028" w:rsidP="00D73028">
            <w:pPr>
              <w:jc w:val="center"/>
              <w:rPr>
                <w:rFonts w:ascii="Times New Roman" w:hAnsi="Times New Roman" w:cs="Times New Roman"/>
                <w:sz w:val="26"/>
                <w:szCs w:val="26"/>
              </w:rPr>
            </w:pPr>
          </w:p>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Kopsummā ierosināta 3001 lieta (48%) no gadā ierosinātajām 6241 lietām</w:t>
            </w:r>
          </w:p>
          <w:p w:rsidR="00D73028" w:rsidRDefault="00D73028" w:rsidP="00D73028">
            <w:pPr>
              <w:jc w:val="center"/>
              <w:rPr>
                <w:rFonts w:ascii="Times New Roman" w:hAnsi="Times New Roman" w:cs="Times New Roman"/>
                <w:sz w:val="26"/>
                <w:szCs w:val="26"/>
              </w:rPr>
            </w:pPr>
          </w:p>
        </w:tc>
        <w:tc>
          <w:tcPr>
            <w:tcW w:w="3640" w:type="dxa"/>
          </w:tcPr>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7 jeb 5% bāriņtiesu</w:t>
            </w:r>
          </w:p>
          <w:p w:rsidR="00D73028" w:rsidRDefault="00D73028" w:rsidP="00D73028">
            <w:pPr>
              <w:jc w:val="center"/>
              <w:rPr>
                <w:rFonts w:ascii="Times New Roman" w:hAnsi="Times New Roman" w:cs="Times New Roman"/>
                <w:sz w:val="26"/>
                <w:szCs w:val="26"/>
              </w:rPr>
            </w:pPr>
          </w:p>
          <w:p w:rsidR="00D73028" w:rsidRDefault="00D73028" w:rsidP="00D73028">
            <w:pPr>
              <w:jc w:val="center"/>
              <w:rPr>
                <w:rFonts w:ascii="Times New Roman" w:hAnsi="Times New Roman" w:cs="Times New Roman"/>
                <w:sz w:val="26"/>
                <w:szCs w:val="26"/>
              </w:rPr>
            </w:pPr>
            <w:r>
              <w:rPr>
                <w:rFonts w:ascii="Times New Roman" w:hAnsi="Times New Roman" w:cs="Times New Roman"/>
                <w:sz w:val="26"/>
                <w:szCs w:val="26"/>
              </w:rPr>
              <w:t>Kopsummā ierosināta 2665 lietas (45%) no gadā ierosinātajām 5954</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lietām</w:t>
            </w:r>
          </w:p>
          <w:p w:rsidR="00D73028" w:rsidRDefault="00D73028" w:rsidP="00D73028">
            <w:pPr>
              <w:jc w:val="center"/>
              <w:rPr>
                <w:rFonts w:ascii="Times New Roman" w:hAnsi="Times New Roman" w:cs="Times New Roman"/>
                <w:sz w:val="26"/>
                <w:szCs w:val="26"/>
              </w:rPr>
            </w:pPr>
          </w:p>
        </w:tc>
        <w:tc>
          <w:tcPr>
            <w:tcW w:w="3640" w:type="dxa"/>
          </w:tcPr>
          <w:p w:rsidR="00D73028" w:rsidRDefault="006D0B26" w:rsidP="00D73028">
            <w:pPr>
              <w:jc w:val="center"/>
              <w:rPr>
                <w:rFonts w:ascii="Times New Roman" w:hAnsi="Times New Roman" w:cs="Times New Roman"/>
                <w:sz w:val="26"/>
                <w:szCs w:val="26"/>
              </w:rPr>
            </w:pPr>
            <w:r>
              <w:rPr>
                <w:rFonts w:ascii="Times New Roman" w:hAnsi="Times New Roman" w:cs="Times New Roman"/>
                <w:sz w:val="26"/>
                <w:szCs w:val="26"/>
              </w:rPr>
              <w:t>9 jeb 6 % bāriņtiesu</w:t>
            </w:r>
          </w:p>
          <w:p w:rsidR="006D0B26" w:rsidRDefault="006D0B26" w:rsidP="00D73028">
            <w:pPr>
              <w:jc w:val="center"/>
              <w:rPr>
                <w:rFonts w:ascii="Times New Roman" w:hAnsi="Times New Roman" w:cs="Times New Roman"/>
                <w:sz w:val="26"/>
                <w:szCs w:val="26"/>
              </w:rPr>
            </w:pPr>
          </w:p>
          <w:p w:rsidR="006D0B26" w:rsidRDefault="006D0B26" w:rsidP="006D0B26">
            <w:pPr>
              <w:jc w:val="center"/>
              <w:rPr>
                <w:rFonts w:ascii="Times New Roman" w:hAnsi="Times New Roman" w:cs="Times New Roman"/>
                <w:sz w:val="26"/>
                <w:szCs w:val="26"/>
              </w:rPr>
            </w:pPr>
            <w:r>
              <w:rPr>
                <w:rFonts w:ascii="Times New Roman" w:hAnsi="Times New Roman" w:cs="Times New Roman"/>
                <w:sz w:val="26"/>
                <w:szCs w:val="26"/>
              </w:rPr>
              <w:t>Kopsummā ierosināta 3149</w:t>
            </w:r>
          </w:p>
          <w:p w:rsidR="006D0B26" w:rsidRDefault="006D0B26" w:rsidP="006D0B26">
            <w:pPr>
              <w:jc w:val="center"/>
              <w:rPr>
                <w:rFonts w:ascii="Times New Roman" w:hAnsi="Times New Roman" w:cs="Times New Roman"/>
                <w:sz w:val="26"/>
                <w:szCs w:val="26"/>
              </w:rPr>
            </w:pPr>
            <w:r>
              <w:rPr>
                <w:rFonts w:ascii="Times New Roman" w:hAnsi="Times New Roman" w:cs="Times New Roman"/>
                <w:sz w:val="26"/>
                <w:szCs w:val="26"/>
              </w:rPr>
              <w:t>lietas (49%) no gadā ierosinātajām 6353 lietām</w:t>
            </w:r>
          </w:p>
          <w:p w:rsidR="006D0B26" w:rsidRDefault="006D0B26" w:rsidP="00D73028">
            <w:pPr>
              <w:jc w:val="center"/>
              <w:rPr>
                <w:rFonts w:ascii="Times New Roman" w:hAnsi="Times New Roman" w:cs="Times New Roman"/>
                <w:sz w:val="26"/>
                <w:szCs w:val="26"/>
              </w:rPr>
            </w:pPr>
          </w:p>
        </w:tc>
      </w:tr>
    </w:tbl>
    <w:p w:rsidR="0013560E" w:rsidRDefault="0013560E" w:rsidP="006052E9">
      <w:pPr>
        <w:ind w:firstLine="720"/>
        <w:rPr>
          <w:rFonts w:ascii="Times New Roman" w:hAnsi="Times New Roman" w:cs="Times New Roman"/>
          <w:sz w:val="26"/>
          <w:szCs w:val="26"/>
        </w:rPr>
      </w:pPr>
    </w:p>
    <w:p w:rsidR="006F13EC" w:rsidRDefault="006F13EC" w:rsidP="0036486E">
      <w:pPr>
        <w:rPr>
          <w:rFonts w:ascii="Times New Roman" w:hAnsi="Times New Roman" w:cs="Times New Roman"/>
          <w:sz w:val="26"/>
          <w:szCs w:val="26"/>
        </w:rPr>
      </w:pPr>
      <w:bookmarkStart w:id="0" w:name="_GoBack"/>
      <w:bookmarkEnd w:id="0"/>
    </w:p>
    <w:sectPr w:rsidR="006F13EC" w:rsidSect="001A48CA">
      <w:pgSz w:w="16838" w:h="11906" w:orient="landscape" w:code="9"/>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761" w:rsidRDefault="00336761" w:rsidP="00523B4E">
      <w:pPr>
        <w:spacing w:after="0" w:line="240" w:lineRule="auto"/>
      </w:pPr>
      <w:r>
        <w:separator/>
      </w:r>
    </w:p>
  </w:endnote>
  <w:endnote w:type="continuationSeparator" w:id="0">
    <w:p w:rsidR="00336761" w:rsidRDefault="00336761" w:rsidP="00523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761" w:rsidRDefault="00336761" w:rsidP="00523B4E">
      <w:pPr>
        <w:spacing w:after="0" w:line="240" w:lineRule="auto"/>
      </w:pPr>
      <w:r>
        <w:separator/>
      </w:r>
    </w:p>
  </w:footnote>
  <w:footnote w:type="continuationSeparator" w:id="0">
    <w:p w:rsidR="00336761" w:rsidRDefault="00336761" w:rsidP="00523B4E">
      <w:pPr>
        <w:spacing w:after="0" w:line="240" w:lineRule="auto"/>
      </w:pPr>
      <w:r>
        <w:continuationSeparator/>
      </w:r>
    </w:p>
  </w:footnote>
  <w:footnote w:id="1">
    <w:p w:rsidR="00523B4E" w:rsidRPr="00293D08" w:rsidRDefault="00523B4E" w:rsidP="00293D08">
      <w:pPr>
        <w:pStyle w:val="FootnoteText"/>
        <w:jc w:val="both"/>
        <w:rPr>
          <w:rFonts w:ascii="Times New Roman" w:hAnsi="Times New Roman" w:cs="Times New Roman"/>
          <w:sz w:val="22"/>
          <w:szCs w:val="22"/>
        </w:rPr>
      </w:pPr>
      <w:r>
        <w:rPr>
          <w:rStyle w:val="FootnoteReference"/>
        </w:rPr>
        <w:footnoteRef/>
      </w:r>
      <w:r>
        <w:t xml:space="preserve"> </w:t>
      </w:r>
      <w:r w:rsidR="00955E27" w:rsidRPr="00293D08">
        <w:rPr>
          <w:rFonts w:ascii="Times New Roman" w:hAnsi="Times New Roman" w:cs="Times New Roman"/>
          <w:sz w:val="22"/>
          <w:szCs w:val="22"/>
        </w:rPr>
        <w:t xml:space="preserve">Kritēriji atbilstoši Ministru kabineta </w:t>
      </w:r>
      <w:proofErr w:type="gramStart"/>
      <w:r w:rsidR="00955E27" w:rsidRPr="00293D08">
        <w:rPr>
          <w:rFonts w:ascii="Times New Roman" w:hAnsi="Times New Roman" w:cs="Times New Roman"/>
          <w:sz w:val="22"/>
          <w:szCs w:val="22"/>
        </w:rPr>
        <w:t>2011.gada</w:t>
      </w:r>
      <w:proofErr w:type="gramEnd"/>
      <w:r w:rsidR="00955E27" w:rsidRPr="00293D08">
        <w:rPr>
          <w:rFonts w:ascii="Times New Roman" w:hAnsi="Times New Roman" w:cs="Times New Roman"/>
          <w:sz w:val="22"/>
          <w:szCs w:val="22"/>
        </w:rPr>
        <w:t xml:space="preserve"> 4.oktobra noteikumi Nr.763 „Noteikumi par bāriņtiesas ikgadējā pārskata veidlapas paraugu un pārskata iesniegšanas un aizpildīšanas kārtību” pielikumā esošajai pārskata veidlapai</w:t>
      </w:r>
    </w:p>
  </w:footnote>
  <w:footnote w:id="2">
    <w:p w:rsidR="002C0032" w:rsidRPr="00293D08" w:rsidRDefault="002C0032" w:rsidP="002C0032">
      <w:pPr>
        <w:pStyle w:val="FootnoteText"/>
        <w:rPr>
          <w:rFonts w:ascii="Times New Roman" w:hAnsi="Times New Roman" w:cs="Times New Roman"/>
          <w:sz w:val="22"/>
          <w:szCs w:val="22"/>
        </w:rPr>
      </w:pPr>
      <w:r w:rsidRPr="00293D08">
        <w:rPr>
          <w:rStyle w:val="FootnoteReference"/>
          <w:rFonts w:ascii="Times New Roman" w:hAnsi="Times New Roman" w:cs="Times New Roman"/>
          <w:sz w:val="22"/>
          <w:szCs w:val="22"/>
        </w:rPr>
        <w:footnoteRef/>
      </w:r>
      <w:r w:rsidRPr="00293D08">
        <w:rPr>
          <w:rFonts w:ascii="Times New Roman" w:hAnsi="Times New Roman" w:cs="Times New Roman"/>
          <w:sz w:val="22"/>
          <w:szCs w:val="22"/>
        </w:rPr>
        <w:t xml:space="preserve"> Kopumā 142 bāriņtiesas </w:t>
      </w:r>
    </w:p>
  </w:footnote>
  <w:footnote w:id="3">
    <w:p w:rsidR="002C0032" w:rsidRPr="00293D08" w:rsidRDefault="002C0032" w:rsidP="002C0032">
      <w:pPr>
        <w:pStyle w:val="FootnoteText"/>
        <w:rPr>
          <w:rFonts w:ascii="Times New Roman" w:hAnsi="Times New Roman" w:cs="Times New Roman"/>
          <w:sz w:val="22"/>
          <w:szCs w:val="22"/>
        </w:rPr>
      </w:pPr>
      <w:r w:rsidRPr="00293D08">
        <w:rPr>
          <w:rStyle w:val="FootnoteReference"/>
          <w:rFonts w:ascii="Times New Roman" w:hAnsi="Times New Roman" w:cs="Times New Roman"/>
          <w:sz w:val="22"/>
          <w:szCs w:val="22"/>
        </w:rPr>
        <w:footnoteRef/>
      </w:r>
      <w:r w:rsidRPr="00293D08">
        <w:rPr>
          <w:rFonts w:ascii="Times New Roman" w:hAnsi="Times New Roman" w:cs="Times New Roman"/>
          <w:sz w:val="22"/>
          <w:szCs w:val="22"/>
        </w:rPr>
        <w:t xml:space="preserve"> Kopumā 142 bāriņtiesas</w:t>
      </w:r>
    </w:p>
  </w:footnote>
  <w:footnote w:id="4">
    <w:p w:rsidR="002C0032" w:rsidRPr="00293D08" w:rsidRDefault="002C0032" w:rsidP="002C0032">
      <w:pPr>
        <w:pStyle w:val="FootnoteText"/>
        <w:rPr>
          <w:rFonts w:ascii="Times New Roman" w:hAnsi="Times New Roman" w:cs="Times New Roman"/>
          <w:sz w:val="22"/>
          <w:szCs w:val="22"/>
        </w:rPr>
      </w:pPr>
      <w:r w:rsidRPr="00293D08">
        <w:rPr>
          <w:rStyle w:val="FootnoteReference"/>
          <w:rFonts w:ascii="Times New Roman" w:hAnsi="Times New Roman" w:cs="Times New Roman"/>
          <w:sz w:val="22"/>
          <w:szCs w:val="22"/>
        </w:rPr>
        <w:footnoteRef/>
      </w:r>
      <w:r w:rsidRPr="00293D08">
        <w:rPr>
          <w:rFonts w:ascii="Times New Roman" w:hAnsi="Times New Roman" w:cs="Times New Roman"/>
          <w:sz w:val="22"/>
          <w:szCs w:val="22"/>
        </w:rPr>
        <w:t xml:space="preserve"> Kopumā 139 bāriņtiesas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E1408"/>
    <w:multiLevelType w:val="hybridMultilevel"/>
    <w:tmpl w:val="9E6E522E"/>
    <w:lvl w:ilvl="0" w:tplc="37D8C296">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78"/>
    <w:rsid w:val="00001103"/>
    <w:rsid w:val="000278D4"/>
    <w:rsid w:val="0004597D"/>
    <w:rsid w:val="0005006E"/>
    <w:rsid w:val="0005033A"/>
    <w:rsid w:val="000732EE"/>
    <w:rsid w:val="0013475C"/>
    <w:rsid w:val="0013560E"/>
    <w:rsid w:val="00146A77"/>
    <w:rsid w:val="001559BA"/>
    <w:rsid w:val="00175794"/>
    <w:rsid w:val="0018688B"/>
    <w:rsid w:val="001A48CA"/>
    <w:rsid w:val="00211859"/>
    <w:rsid w:val="00214984"/>
    <w:rsid w:val="002379FD"/>
    <w:rsid w:val="00254606"/>
    <w:rsid w:val="00260BD6"/>
    <w:rsid w:val="00270EB8"/>
    <w:rsid w:val="00280CA2"/>
    <w:rsid w:val="00293D08"/>
    <w:rsid w:val="0029666F"/>
    <w:rsid w:val="002C0032"/>
    <w:rsid w:val="002C1682"/>
    <w:rsid w:val="00314E6A"/>
    <w:rsid w:val="00336761"/>
    <w:rsid w:val="00354D9F"/>
    <w:rsid w:val="00360155"/>
    <w:rsid w:val="0036486E"/>
    <w:rsid w:val="00387AC7"/>
    <w:rsid w:val="0039125A"/>
    <w:rsid w:val="003A0B21"/>
    <w:rsid w:val="003A0FFE"/>
    <w:rsid w:val="003F0543"/>
    <w:rsid w:val="00404C12"/>
    <w:rsid w:val="004B328E"/>
    <w:rsid w:val="004E78F5"/>
    <w:rsid w:val="004F7BCD"/>
    <w:rsid w:val="00502CCA"/>
    <w:rsid w:val="00516DF2"/>
    <w:rsid w:val="00523B4E"/>
    <w:rsid w:val="00533BE0"/>
    <w:rsid w:val="005349D2"/>
    <w:rsid w:val="00535D87"/>
    <w:rsid w:val="00536F16"/>
    <w:rsid w:val="00574326"/>
    <w:rsid w:val="00575B01"/>
    <w:rsid w:val="0058603A"/>
    <w:rsid w:val="00594B52"/>
    <w:rsid w:val="005B2BF9"/>
    <w:rsid w:val="005E4ED2"/>
    <w:rsid w:val="006052E9"/>
    <w:rsid w:val="0061369D"/>
    <w:rsid w:val="00631337"/>
    <w:rsid w:val="0063769E"/>
    <w:rsid w:val="00676827"/>
    <w:rsid w:val="006824A5"/>
    <w:rsid w:val="006B56F2"/>
    <w:rsid w:val="006C5594"/>
    <w:rsid w:val="006D0B26"/>
    <w:rsid w:val="006D6DA1"/>
    <w:rsid w:val="006F13EC"/>
    <w:rsid w:val="00710D15"/>
    <w:rsid w:val="00721EF5"/>
    <w:rsid w:val="00751C08"/>
    <w:rsid w:val="00752FCA"/>
    <w:rsid w:val="007656A4"/>
    <w:rsid w:val="007669BF"/>
    <w:rsid w:val="007806EF"/>
    <w:rsid w:val="007A1DC1"/>
    <w:rsid w:val="007C7BD7"/>
    <w:rsid w:val="008228AD"/>
    <w:rsid w:val="0083037E"/>
    <w:rsid w:val="008707B4"/>
    <w:rsid w:val="0087511B"/>
    <w:rsid w:val="00890D4E"/>
    <w:rsid w:val="00890E72"/>
    <w:rsid w:val="008B7487"/>
    <w:rsid w:val="008D04F0"/>
    <w:rsid w:val="008D3DFC"/>
    <w:rsid w:val="008D7845"/>
    <w:rsid w:val="008F1B4C"/>
    <w:rsid w:val="008F5601"/>
    <w:rsid w:val="008F56AE"/>
    <w:rsid w:val="0091072D"/>
    <w:rsid w:val="00926043"/>
    <w:rsid w:val="00945D82"/>
    <w:rsid w:val="00955E27"/>
    <w:rsid w:val="00960C7F"/>
    <w:rsid w:val="009611C7"/>
    <w:rsid w:val="009715B7"/>
    <w:rsid w:val="00975269"/>
    <w:rsid w:val="009873EA"/>
    <w:rsid w:val="009E037C"/>
    <w:rsid w:val="009E2671"/>
    <w:rsid w:val="009E47C7"/>
    <w:rsid w:val="009E6EF4"/>
    <w:rsid w:val="009F0711"/>
    <w:rsid w:val="00A07D5B"/>
    <w:rsid w:val="00A13904"/>
    <w:rsid w:val="00A20CE4"/>
    <w:rsid w:val="00A23B59"/>
    <w:rsid w:val="00A81509"/>
    <w:rsid w:val="00A85426"/>
    <w:rsid w:val="00AA0978"/>
    <w:rsid w:val="00AC32CF"/>
    <w:rsid w:val="00AE2595"/>
    <w:rsid w:val="00AF11A4"/>
    <w:rsid w:val="00AF440F"/>
    <w:rsid w:val="00B129B8"/>
    <w:rsid w:val="00B37883"/>
    <w:rsid w:val="00B42770"/>
    <w:rsid w:val="00B71CBA"/>
    <w:rsid w:val="00BB30FB"/>
    <w:rsid w:val="00BC42B0"/>
    <w:rsid w:val="00BD5A58"/>
    <w:rsid w:val="00C1154C"/>
    <w:rsid w:val="00C17F10"/>
    <w:rsid w:val="00C5503E"/>
    <w:rsid w:val="00C84009"/>
    <w:rsid w:val="00C91E65"/>
    <w:rsid w:val="00C95091"/>
    <w:rsid w:val="00CA4ED0"/>
    <w:rsid w:val="00CD1366"/>
    <w:rsid w:val="00CE35F4"/>
    <w:rsid w:val="00CF423C"/>
    <w:rsid w:val="00D43B69"/>
    <w:rsid w:val="00D73028"/>
    <w:rsid w:val="00D74C2C"/>
    <w:rsid w:val="00D83BC7"/>
    <w:rsid w:val="00D86A1F"/>
    <w:rsid w:val="00DA4C39"/>
    <w:rsid w:val="00DD1937"/>
    <w:rsid w:val="00DD271B"/>
    <w:rsid w:val="00DF0DB1"/>
    <w:rsid w:val="00DF29F8"/>
    <w:rsid w:val="00E305BE"/>
    <w:rsid w:val="00E54248"/>
    <w:rsid w:val="00E61694"/>
    <w:rsid w:val="00EB3E54"/>
    <w:rsid w:val="00ED43BF"/>
    <w:rsid w:val="00F21ED3"/>
    <w:rsid w:val="00F312EA"/>
    <w:rsid w:val="00F44104"/>
    <w:rsid w:val="00F76287"/>
    <w:rsid w:val="00F853A3"/>
    <w:rsid w:val="00F979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8CDFC-9B2A-4D29-85E1-53C9FFF9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1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3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B4E"/>
    <w:rPr>
      <w:sz w:val="20"/>
      <w:szCs w:val="20"/>
    </w:rPr>
  </w:style>
  <w:style w:type="character" w:styleId="FootnoteReference">
    <w:name w:val="footnote reference"/>
    <w:basedOn w:val="DefaultParagraphFont"/>
    <w:uiPriority w:val="99"/>
    <w:semiHidden/>
    <w:unhideWhenUsed/>
    <w:rsid w:val="00523B4E"/>
    <w:rPr>
      <w:vertAlign w:val="superscript"/>
    </w:rPr>
  </w:style>
  <w:style w:type="paragraph" w:styleId="Header">
    <w:name w:val="header"/>
    <w:basedOn w:val="Normal"/>
    <w:link w:val="HeaderChar"/>
    <w:uiPriority w:val="99"/>
    <w:unhideWhenUsed/>
    <w:rsid w:val="009E6E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E6EF4"/>
  </w:style>
  <w:style w:type="paragraph" w:styleId="Footer">
    <w:name w:val="footer"/>
    <w:basedOn w:val="Normal"/>
    <w:link w:val="FooterChar"/>
    <w:uiPriority w:val="99"/>
    <w:unhideWhenUsed/>
    <w:rsid w:val="009E6E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9E6EF4"/>
  </w:style>
  <w:style w:type="character" w:styleId="Hyperlink">
    <w:name w:val="Hyperlink"/>
    <w:basedOn w:val="DefaultParagraphFont"/>
    <w:uiPriority w:val="99"/>
    <w:unhideWhenUsed/>
    <w:rsid w:val="006C5594"/>
    <w:rPr>
      <w:color w:val="0563C1" w:themeColor="hyperlink"/>
      <w:u w:val="single"/>
    </w:rPr>
  </w:style>
  <w:style w:type="paragraph" w:styleId="BalloonText">
    <w:name w:val="Balloon Text"/>
    <w:basedOn w:val="Normal"/>
    <w:link w:val="BalloonTextChar"/>
    <w:uiPriority w:val="99"/>
    <w:semiHidden/>
    <w:unhideWhenUsed/>
    <w:rsid w:val="00C17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F10"/>
    <w:rPr>
      <w:rFonts w:ascii="Segoe UI" w:hAnsi="Segoe UI" w:cs="Segoe UI"/>
      <w:sz w:val="18"/>
      <w:szCs w:val="18"/>
    </w:rPr>
  </w:style>
  <w:style w:type="paragraph" w:styleId="ListParagraph">
    <w:name w:val="List Paragraph"/>
    <w:basedOn w:val="Normal"/>
    <w:uiPriority w:val="34"/>
    <w:qFormat/>
    <w:rsid w:val="00574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130949">
      <w:bodyDiv w:val="1"/>
      <w:marLeft w:val="0"/>
      <w:marRight w:val="0"/>
      <w:marTop w:val="0"/>
      <w:marBottom w:val="0"/>
      <w:divBdr>
        <w:top w:val="none" w:sz="0" w:space="0" w:color="auto"/>
        <w:left w:val="none" w:sz="0" w:space="0" w:color="auto"/>
        <w:bottom w:val="none" w:sz="0" w:space="0" w:color="auto"/>
        <w:right w:val="none" w:sz="0" w:space="0" w:color="auto"/>
      </w:divBdr>
    </w:div>
    <w:div w:id="1365057781">
      <w:bodyDiv w:val="1"/>
      <w:marLeft w:val="0"/>
      <w:marRight w:val="0"/>
      <w:marTop w:val="0"/>
      <w:marBottom w:val="0"/>
      <w:divBdr>
        <w:top w:val="none" w:sz="0" w:space="0" w:color="auto"/>
        <w:left w:val="none" w:sz="0" w:space="0" w:color="auto"/>
        <w:bottom w:val="none" w:sz="0" w:space="0" w:color="auto"/>
        <w:right w:val="none" w:sz="0" w:space="0" w:color="auto"/>
      </w:divBdr>
    </w:div>
    <w:div w:id="209454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1.xml"/><Relationship Id="rId1" Type="http://schemas.microsoft.com/office/2011/relationships/chartStyle" Target="styl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2.xml"/><Relationship Id="rId1" Type="http://schemas.microsoft.com/office/2011/relationships/chartStyle" Target="style2.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3.xml"/><Relationship Id="rId1" Type="http://schemas.microsoft.com/office/2011/relationships/chartStyle" Target="style3.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sz="1800" b="1" i="0" u="none" strike="noStrike" baseline="0">
                <a:effectLst/>
              </a:rPr>
              <a:t>Bāriņtiesu (skaits) iedalījums, atkarībā no gadā pieņemto lēmumu apjoma </a:t>
            </a:r>
            <a:endParaRPr lang="lv-LV" sz="2000"/>
          </a:p>
        </c:rich>
      </c:tx>
      <c:layout>
        <c:manualLayout>
          <c:xMode val="edge"/>
          <c:yMode val="edge"/>
          <c:x val="0.14147006388352398"/>
          <c:y val="2.4390243902439025E-2"/>
        </c:manualLayout>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8.9992324072698471E-2"/>
          <c:y val="0.10323802680558468"/>
          <c:w val="0.91000764327535977"/>
          <c:h val="0.84524833239775665"/>
        </c:manualLayout>
      </c:layout>
      <c:bar3DChart>
        <c:barDir val="col"/>
        <c:grouping val="percentStacked"/>
        <c:varyColors val="0"/>
        <c:ser>
          <c:idx val="0"/>
          <c:order val="0"/>
          <c:tx>
            <c:strRef>
              <c:f>Sheet1!$B$1</c:f>
              <c:strCache>
                <c:ptCount val="1"/>
                <c:pt idx="0">
                  <c:v>0-20 lēmumi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2014. gads  (142 bāriņtiesas)</c:v>
                </c:pt>
                <c:pt idx="1">
                  <c:v>2015. gads   (142 bāriņtiesas)</c:v>
                </c:pt>
                <c:pt idx="2">
                  <c:v>2016. gads (139 bāriņtiesas)</c:v>
                </c:pt>
              </c:strCache>
            </c:strRef>
          </c:cat>
          <c:val>
            <c:numRef>
              <c:f>Sheet1!$B$2:$B$4</c:f>
              <c:numCache>
                <c:formatCode>General</c:formatCode>
                <c:ptCount val="3"/>
                <c:pt idx="0">
                  <c:v>25</c:v>
                </c:pt>
                <c:pt idx="1">
                  <c:v>17</c:v>
                </c:pt>
                <c:pt idx="2">
                  <c:v>21</c:v>
                </c:pt>
              </c:numCache>
            </c:numRef>
          </c:val>
        </c:ser>
        <c:ser>
          <c:idx val="1"/>
          <c:order val="1"/>
          <c:tx>
            <c:strRef>
              <c:f>Sheet1!$C$1</c:f>
              <c:strCache>
                <c:ptCount val="1"/>
                <c:pt idx="0">
                  <c:v>21-50 lēmumi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2014. gads  (142 bāriņtiesas)</c:v>
                </c:pt>
                <c:pt idx="1">
                  <c:v>2015. gads   (142 bāriņtiesas)</c:v>
                </c:pt>
                <c:pt idx="2">
                  <c:v>2016. gads (139 bāriņtiesas)</c:v>
                </c:pt>
              </c:strCache>
            </c:strRef>
          </c:cat>
          <c:val>
            <c:numRef>
              <c:f>Sheet1!$C$2:$C$4</c:f>
              <c:numCache>
                <c:formatCode>General</c:formatCode>
                <c:ptCount val="3"/>
                <c:pt idx="0">
                  <c:v>49</c:v>
                </c:pt>
                <c:pt idx="1">
                  <c:v>63</c:v>
                </c:pt>
                <c:pt idx="2">
                  <c:v>54</c:v>
                </c:pt>
              </c:numCache>
            </c:numRef>
          </c:val>
        </c:ser>
        <c:ser>
          <c:idx val="2"/>
          <c:order val="2"/>
          <c:tx>
            <c:strRef>
              <c:f>Sheet1!$D$1</c:f>
              <c:strCache>
                <c:ptCount val="1"/>
                <c:pt idx="0">
                  <c:v>51-100 lēmumi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2014. gads  (142 bāriņtiesas)</c:v>
                </c:pt>
                <c:pt idx="1">
                  <c:v>2015. gads   (142 bāriņtiesas)</c:v>
                </c:pt>
                <c:pt idx="2">
                  <c:v>2016. gads (139 bāriņtiesas)</c:v>
                </c:pt>
              </c:strCache>
            </c:strRef>
          </c:cat>
          <c:val>
            <c:numRef>
              <c:f>Sheet1!$D$2:$D$4</c:f>
              <c:numCache>
                <c:formatCode>General</c:formatCode>
                <c:ptCount val="3"/>
                <c:pt idx="0">
                  <c:v>42</c:v>
                </c:pt>
                <c:pt idx="1">
                  <c:v>35</c:v>
                </c:pt>
                <c:pt idx="2">
                  <c:v>35</c:v>
                </c:pt>
              </c:numCache>
            </c:numRef>
          </c:val>
        </c:ser>
        <c:ser>
          <c:idx val="3"/>
          <c:order val="3"/>
          <c:tx>
            <c:strRef>
              <c:f>Sheet1!$E$1</c:f>
              <c:strCache>
                <c:ptCount val="1"/>
                <c:pt idx="0">
                  <c:v>101-200 lēmumi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2014. gads  (142 bāriņtiesas)</c:v>
                </c:pt>
                <c:pt idx="1">
                  <c:v>2015. gads   (142 bāriņtiesas)</c:v>
                </c:pt>
                <c:pt idx="2">
                  <c:v>2016. gads (139 bāriņtiesas)</c:v>
                </c:pt>
              </c:strCache>
            </c:strRef>
          </c:cat>
          <c:val>
            <c:numRef>
              <c:f>Sheet1!$E$2:$E$4</c:f>
              <c:numCache>
                <c:formatCode>General</c:formatCode>
                <c:ptCount val="3"/>
                <c:pt idx="0">
                  <c:v>17</c:v>
                </c:pt>
                <c:pt idx="1">
                  <c:v>20</c:v>
                </c:pt>
                <c:pt idx="2">
                  <c:v>20</c:v>
                </c:pt>
              </c:numCache>
            </c:numRef>
          </c:val>
        </c:ser>
        <c:ser>
          <c:idx val="4"/>
          <c:order val="4"/>
          <c:tx>
            <c:strRef>
              <c:f>Sheet1!$F$1</c:f>
              <c:strCache>
                <c:ptCount val="1"/>
                <c:pt idx="0">
                  <c:v>Vairāk kā 201 lēmums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2014. gads  (142 bāriņtiesas)</c:v>
                </c:pt>
                <c:pt idx="1">
                  <c:v>2015. gads   (142 bāriņtiesas)</c:v>
                </c:pt>
                <c:pt idx="2">
                  <c:v>2016. gads (139 bāriņtiesas)</c:v>
                </c:pt>
              </c:strCache>
            </c:strRef>
          </c:cat>
          <c:val>
            <c:numRef>
              <c:f>Sheet1!$F$2:$F$4</c:f>
              <c:numCache>
                <c:formatCode>General</c:formatCode>
                <c:ptCount val="3"/>
                <c:pt idx="0">
                  <c:v>9</c:v>
                </c:pt>
                <c:pt idx="1">
                  <c:v>7</c:v>
                </c:pt>
                <c:pt idx="2">
                  <c:v>9</c:v>
                </c:pt>
              </c:numCache>
            </c:numRef>
          </c:val>
        </c:ser>
        <c:dLbls>
          <c:showLegendKey val="0"/>
          <c:showVal val="1"/>
          <c:showCatName val="0"/>
          <c:showSerName val="0"/>
          <c:showPercent val="0"/>
          <c:showBubbleSize val="0"/>
        </c:dLbls>
        <c:gapWidth val="75"/>
        <c:shape val="box"/>
        <c:axId val="317446504"/>
        <c:axId val="317445720"/>
        <c:axId val="0"/>
      </c:bar3DChart>
      <c:catAx>
        <c:axId val="317446504"/>
        <c:scaling>
          <c:orientation val="minMax"/>
        </c:scaling>
        <c:delete val="0"/>
        <c:axPos val="b"/>
        <c:numFmt formatCode="General" sourceLinked="0"/>
        <c:majorTickMark val="none"/>
        <c:minorTickMark val="none"/>
        <c:tickLblPos val="nextTo"/>
        <c:crossAx val="317445720"/>
        <c:crosses val="autoZero"/>
        <c:auto val="1"/>
        <c:lblAlgn val="ctr"/>
        <c:lblOffset val="100"/>
        <c:noMultiLvlLbl val="0"/>
      </c:catAx>
      <c:valAx>
        <c:axId val="317445720"/>
        <c:scaling>
          <c:orientation val="minMax"/>
        </c:scaling>
        <c:delete val="0"/>
        <c:axPos val="l"/>
        <c:numFmt formatCode="0%" sourceLinked="1"/>
        <c:majorTickMark val="none"/>
        <c:minorTickMark val="none"/>
        <c:tickLblPos val="nextTo"/>
        <c:crossAx val="317446504"/>
        <c:crosses val="autoZero"/>
        <c:crossBetween val="between"/>
      </c:valAx>
    </c:plotArea>
    <c:legend>
      <c:legendPos val="b"/>
      <c:layout>
        <c:manualLayout>
          <c:xMode val="edge"/>
          <c:yMode val="edge"/>
          <c:x val="8.4267399267399262E-2"/>
          <c:y val="0.88161101249627039"/>
          <c:w val="0.83512820512820518"/>
          <c:h val="7.985334203166800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a:t>2014.gads                      </a:t>
            </a:r>
          </a:p>
          <a:p>
            <a:pPr>
              <a:defRPr/>
            </a:pPr>
            <a:r>
              <a:rPr lang="lv-LV"/>
              <a:t>  </a:t>
            </a:r>
            <a:r>
              <a:rPr lang="lv-LV" sz="1100" i="1"/>
              <a:t>(</a:t>
            </a:r>
            <a:r>
              <a:rPr lang="lv-LV" sz="1100" b="1" i="1" u="none" strike="noStrike" baseline="0"/>
              <a:t>142 bāriņtiesas; </a:t>
            </a:r>
            <a:r>
              <a:rPr lang="lv-LV" sz="1100" i="1"/>
              <a:t>13 821 lēmumi )</a:t>
            </a:r>
          </a:p>
        </c:rich>
      </c:tx>
      <c:layout>
        <c:manualLayout>
          <c:xMode val="edge"/>
          <c:yMode val="edge"/>
          <c:x val="0.13146005509641873"/>
          <c:y val="2.5157232704402517E-2"/>
        </c:manualLayout>
      </c:layout>
      <c:overlay val="0"/>
    </c:title>
    <c:autoTitleDeleted val="0"/>
    <c:plotArea>
      <c:layout>
        <c:manualLayout>
          <c:layoutTarget val="inner"/>
          <c:xMode val="edge"/>
          <c:yMode val="edge"/>
          <c:x val="6.4799547115434106E-2"/>
          <c:y val="0.23675457276991535"/>
          <c:w val="0.93520045288456588"/>
          <c:h val="0.56494647957432542"/>
        </c:manualLayout>
      </c:layout>
      <c:doughnutChart>
        <c:varyColors val="1"/>
        <c:ser>
          <c:idx val="0"/>
          <c:order val="0"/>
          <c:tx>
            <c:strRef>
              <c:f>Sheet1!$B$1</c:f>
              <c:strCache>
                <c:ptCount val="1"/>
                <c:pt idx="0">
                  <c:v>Pieņemto bāriņtiesu skaits 2014.gadā (kopā pieņemts __ lēmumi)</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0-20 lēmumi</c:v>
                </c:pt>
                <c:pt idx="1">
                  <c:v>21-50 lēmumi</c:v>
                </c:pt>
                <c:pt idx="2">
                  <c:v>51-100 lēmumi</c:v>
                </c:pt>
                <c:pt idx="3">
                  <c:v>101-200 lēmumi</c:v>
                </c:pt>
                <c:pt idx="4">
                  <c:v>Vairāk kā 201 lēmums</c:v>
                </c:pt>
              </c:strCache>
            </c:strRef>
          </c:cat>
          <c:val>
            <c:numRef>
              <c:f>Sheet1!$B$2:$B$6</c:f>
              <c:numCache>
                <c:formatCode>General</c:formatCode>
                <c:ptCount val="5"/>
                <c:pt idx="0">
                  <c:v>25</c:v>
                </c:pt>
                <c:pt idx="1">
                  <c:v>49</c:v>
                </c:pt>
                <c:pt idx="2">
                  <c:v>42</c:v>
                </c:pt>
                <c:pt idx="3">
                  <c:v>17</c:v>
                </c:pt>
                <c:pt idx="4">
                  <c:v>9</c:v>
                </c:pt>
              </c:numCache>
            </c:numRef>
          </c:val>
        </c:ser>
        <c:dLbls>
          <c:showLegendKey val="0"/>
          <c:showVal val="0"/>
          <c:showCatName val="1"/>
          <c:showSerName val="0"/>
          <c:showPercent val="1"/>
          <c:showBubbleSize val="0"/>
          <c:showLeaderLines val="0"/>
        </c:dLbls>
        <c:firstSliceAng val="0"/>
        <c:holeSize val="50"/>
      </c:doughnut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v-LV"/>
              <a:t>2015. gads</a:t>
            </a:r>
          </a:p>
          <a:p>
            <a:pPr>
              <a:defRPr/>
            </a:pPr>
            <a:r>
              <a:rPr lang="lv-LV"/>
              <a:t> </a:t>
            </a:r>
            <a:r>
              <a:rPr lang="lv-LV" sz="1100" i="1"/>
              <a:t>(</a:t>
            </a:r>
            <a:r>
              <a:rPr lang="lv-LV" sz="1100" b="1" i="1" u="none" strike="noStrike" baseline="0"/>
              <a:t>142 bāriņtiesas; </a:t>
            </a:r>
            <a:r>
              <a:rPr lang="lv-LV" sz="1100" i="1"/>
              <a:t>13 004 lēmumi)</a:t>
            </a:r>
          </a:p>
        </c:rich>
      </c:tx>
      <c:overlay val="0"/>
    </c:title>
    <c:autoTitleDeleted val="0"/>
    <c:plotArea>
      <c:layout>
        <c:manualLayout>
          <c:layoutTarget val="inner"/>
          <c:xMode val="edge"/>
          <c:yMode val="edge"/>
          <c:x val="5.5355944584596826E-2"/>
          <c:y val="0.24552709510979537"/>
          <c:w val="0.89717911474657897"/>
          <c:h val="0.56320913590685751"/>
        </c:manualLayout>
      </c:layout>
      <c:doughnutChart>
        <c:varyColors val="1"/>
        <c:ser>
          <c:idx val="0"/>
          <c:order val="0"/>
          <c:tx>
            <c:strRef>
              <c:f>Sheet1!$B$1</c:f>
              <c:strCache>
                <c:ptCount val="1"/>
                <c:pt idx="0">
                  <c:v>Bāriņtiesās pieņemto lēmumu skaits 2015. gadā (kopā pieņemti __ lēmumi)</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0-20 lēmumi</c:v>
                </c:pt>
                <c:pt idx="1">
                  <c:v>21-50 lēmumi</c:v>
                </c:pt>
                <c:pt idx="2">
                  <c:v>51-100 lēmumi</c:v>
                </c:pt>
                <c:pt idx="3">
                  <c:v>101-200 lēmumi</c:v>
                </c:pt>
                <c:pt idx="4">
                  <c:v>Vairāk kā 201 lēmums</c:v>
                </c:pt>
              </c:strCache>
            </c:strRef>
          </c:cat>
          <c:val>
            <c:numRef>
              <c:f>Sheet1!$B$2:$B$6</c:f>
              <c:numCache>
                <c:formatCode>General</c:formatCode>
                <c:ptCount val="5"/>
                <c:pt idx="0">
                  <c:v>17</c:v>
                </c:pt>
                <c:pt idx="1">
                  <c:v>63</c:v>
                </c:pt>
                <c:pt idx="2">
                  <c:v>35</c:v>
                </c:pt>
                <c:pt idx="3">
                  <c:v>20</c:v>
                </c:pt>
                <c:pt idx="4">
                  <c:v>7</c:v>
                </c:pt>
              </c:numCache>
            </c:numRef>
          </c:val>
        </c:ser>
        <c:dLbls>
          <c:showLegendKey val="0"/>
          <c:showVal val="0"/>
          <c:showCatName val="1"/>
          <c:showSerName val="0"/>
          <c:showPercent val="1"/>
          <c:showBubbleSize val="0"/>
          <c:showLeaderLines val="0"/>
        </c:dLbls>
        <c:firstSliceAng val="0"/>
        <c:holeSize val="50"/>
      </c:doughnut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lv-LV"/>
              <a:t>2016. gads               </a:t>
            </a:r>
          </a:p>
          <a:p>
            <a:pPr algn="ctr">
              <a:defRPr/>
            </a:pPr>
            <a:r>
              <a:rPr lang="lv-LV" i="1"/>
              <a:t>(</a:t>
            </a:r>
            <a:r>
              <a:rPr lang="lv-LV" sz="1100" i="1"/>
              <a:t>139 bāriņtiesas; 13 228 lēmumi</a:t>
            </a:r>
            <a:r>
              <a:rPr lang="lv-LV" i="1"/>
              <a:t>)</a:t>
            </a:r>
          </a:p>
        </c:rich>
      </c:tx>
      <c:layout>
        <c:manualLayout>
          <c:xMode val="edge"/>
          <c:yMode val="edge"/>
          <c:x val="0.11431829886512411"/>
          <c:y val="2.030456852791878E-2"/>
        </c:manualLayout>
      </c:layout>
      <c:overlay val="0"/>
    </c:title>
    <c:autoTitleDeleted val="0"/>
    <c:plotArea>
      <c:layout>
        <c:manualLayout>
          <c:layoutTarget val="inner"/>
          <c:xMode val="edge"/>
          <c:yMode val="edge"/>
          <c:x val="3.2157878999302295E-2"/>
          <c:y val="0.26825767314799936"/>
          <c:w val="0.82860161467158377"/>
          <c:h val="0.54433311907440141"/>
        </c:manualLayout>
      </c:layout>
      <c:doughnutChart>
        <c:varyColors val="1"/>
        <c:ser>
          <c:idx val="0"/>
          <c:order val="0"/>
          <c:tx>
            <c:strRef>
              <c:f>Sheet1!$B$1</c:f>
              <c:strCache>
                <c:ptCount val="1"/>
                <c:pt idx="0">
                  <c:v>Bāriņtiesās pieņemto lēmumu skaits 2016. gadā (139 bāriņtiesas; kopā pieņemti __ lēmumi)</c:v>
                </c:pt>
              </c:strCache>
            </c:strRef>
          </c:tx>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0-20 lēmumi</c:v>
                </c:pt>
                <c:pt idx="1">
                  <c:v>21-50 lēmumi</c:v>
                </c:pt>
                <c:pt idx="2">
                  <c:v>51-100 lēmumi</c:v>
                </c:pt>
                <c:pt idx="3">
                  <c:v>101-200 lēmumi</c:v>
                </c:pt>
                <c:pt idx="4">
                  <c:v>Vairāk kā 201 lēmums</c:v>
                </c:pt>
              </c:strCache>
            </c:strRef>
          </c:cat>
          <c:val>
            <c:numRef>
              <c:f>Sheet1!$B$2:$B$6</c:f>
              <c:numCache>
                <c:formatCode>General</c:formatCode>
                <c:ptCount val="5"/>
                <c:pt idx="0">
                  <c:v>21</c:v>
                </c:pt>
                <c:pt idx="1">
                  <c:v>54</c:v>
                </c:pt>
                <c:pt idx="2">
                  <c:v>35</c:v>
                </c:pt>
                <c:pt idx="3">
                  <c:v>20</c:v>
                </c:pt>
                <c:pt idx="4">
                  <c:v>9</c:v>
                </c:pt>
              </c:numCache>
            </c:numRef>
          </c:val>
        </c:ser>
        <c:dLbls>
          <c:showLegendKey val="0"/>
          <c:showVal val="0"/>
          <c:showCatName val="1"/>
          <c:showSerName val="0"/>
          <c:showPercent val="1"/>
          <c:showBubbleSize val="0"/>
          <c:showLeaderLines val="0"/>
        </c:dLbls>
        <c:firstSliceAng val="0"/>
        <c:holeSize val="50"/>
      </c:doughnut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lv-LV">
                <a:solidFill>
                  <a:sysClr val="windowText" lastClr="000000"/>
                </a:solidFill>
              </a:rPr>
              <a:t>Bāriņtiesu (skaits) iedalījums pēc ierosināto lietu apjoma gadā</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stacked"/>
        <c:varyColors val="0"/>
        <c:ser>
          <c:idx val="0"/>
          <c:order val="0"/>
          <c:tx>
            <c:strRef>
              <c:f>Sheet1!$B$1</c:f>
              <c:strCache>
                <c:ptCount val="1"/>
                <c:pt idx="0">
                  <c:v>0-20 lietas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2014. gads 142 bāriņtiesas</c:v>
                </c:pt>
                <c:pt idx="1">
                  <c:v>2015. gads 142 bāriņtiesas</c:v>
                </c:pt>
                <c:pt idx="2">
                  <c:v>2016. gads 139 bāriņtiesas</c:v>
                </c:pt>
              </c:strCache>
            </c:strRef>
          </c:cat>
          <c:val>
            <c:numRef>
              <c:f>Sheet1!$B$2:$B$5</c:f>
              <c:numCache>
                <c:formatCode>General</c:formatCode>
                <c:ptCount val="4"/>
                <c:pt idx="0">
                  <c:v>69</c:v>
                </c:pt>
                <c:pt idx="1">
                  <c:v>79</c:v>
                </c:pt>
                <c:pt idx="2">
                  <c:v>79</c:v>
                </c:pt>
              </c:numCache>
            </c:numRef>
          </c:val>
        </c:ser>
        <c:ser>
          <c:idx val="1"/>
          <c:order val="1"/>
          <c:tx>
            <c:strRef>
              <c:f>Sheet1!$C$1</c:f>
              <c:strCache>
                <c:ptCount val="1"/>
                <c:pt idx="0">
                  <c:v>21-50 lietas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2014. gads 142 bāriņtiesas</c:v>
                </c:pt>
                <c:pt idx="1">
                  <c:v>2015. gads 142 bāriņtiesas</c:v>
                </c:pt>
                <c:pt idx="2">
                  <c:v>2016. gads 139 bāriņtiesas</c:v>
                </c:pt>
              </c:strCache>
            </c:strRef>
          </c:cat>
          <c:val>
            <c:numRef>
              <c:f>Sheet1!$C$2:$C$5</c:f>
              <c:numCache>
                <c:formatCode>General</c:formatCode>
                <c:ptCount val="4"/>
                <c:pt idx="0">
                  <c:v>50</c:v>
                </c:pt>
                <c:pt idx="1">
                  <c:v>39</c:v>
                </c:pt>
                <c:pt idx="2">
                  <c:v>36</c:v>
                </c:pt>
              </c:numCache>
            </c:numRef>
          </c:val>
        </c:ser>
        <c:ser>
          <c:idx val="2"/>
          <c:order val="2"/>
          <c:tx>
            <c:strRef>
              <c:f>Sheet1!$D$1</c:f>
              <c:strCache>
                <c:ptCount val="1"/>
                <c:pt idx="0">
                  <c:v>51-100 lietas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2014. gads 142 bāriņtiesas</c:v>
                </c:pt>
                <c:pt idx="1">
                  <c:v>2015. gads 142 bāriņtiesas</c:v>
                </c:pt>
                <c:pt idx="2">
                  <c:v>2016. gads 139 bāriņtiesas</c:v>
                </c:pt>
              </c:strCache>
            </c:strRef>
          </c:cat>
          <c:val>
            <c:numRef>
              <c:f>Sheet1!$D$2:$D$5</c:f>
              <c:numCache>
                <c:formatCode>General</c:formatCode>
                <c:ptCount val="4"/>
                <c:pt idx="0">
                  <c:v>14</c:v>
                </c:pt>
                <c:pt idx="1">
                  <c:v>17</c:v>
                </c:pt>
                <c:pt idx="2">
                  <c:v>15</c:v>
                </c:pt>
              </c:numCache>
            </c:numRef>
          </c:val>
        </c:ser>
        <c:ser>
          <c:idx val="3"/>
          <c:order val="3"/>
          <c:tx>
            <c:strRef>
              <c:f>Sheet1!$E$1</c:f>
              <c:strCache>
                <c:ptCount val="1"/>
                <c:pt idx="0">
                  <c:v>101-200 lietas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2014. gads 142 bāriņtiesas</c:v>
                </c:pt>
                <c:pt idx="1">
                  <c:v>2015. gads 142 bāriņtiesas</c:v>
                </c:pt>
                <c:pt idx="2">
                  <c:v>2016. gads 139 bāriņtiesas</c:v>
                </c:pt>
              </c:strCache>
            </c:strRef>
          </c:cat>
          <c:val>
            <c:numRef>
              <c:f>Sheet1!$E$2:$E$5</c:f>
              <c:numCache>
                <c:formatCode>General</c:formatCode>
                <c:ptCount val="4"/>
                <c:pt idx="0">
                  <c:v>5</c:v>
                </c:pt>
                <c:pt idx="1">
                  <c:v>4</c:v>
                </c:pt>
                <c:pt idx="2">
                  <c:v>6</c:v>
                </c:pt>
              </c:numCache>
            </c:numRef>
          </c:val>
        </c:ser>
        <c:ser>
          <c:idx val="4"/>
          <c:order val="4"/>
          <c:tx>
            <c:strRef>
              <c:f>Sheet1!$F$1</c:f>
              <c:strCache>
                <c:ptCount val="1"/>
                <c:pt idx="0">
                  <c:v>Vairāk kā 201 lietas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2014. gads 142 bāriņtiesas</c:v>
                </c:pt>
                <c:pt idx="1">
                  <c:v>2015. gads 142 bāriņtiesas</c:v>
                </c:pt>
                <c:pt idx="2">
                  <c:v>2016. gads 139 bāriņtiesas</c:v>
                </c:pt>
              </c:strCache>
            </c:strRef>
          </c:cat>
          <c:val>
            <c:numRef>
              <c:f>Sheet1!$F$2:$F$5</c:f>
              <c:numCache>
                <c:formatCode>General</c:formatCode>
                <c:ptCount val="4"/>
                <c:pt idx="0">
                  <c:v>4</c:v>
                </c:pt>
                <c:pt idx="1">
                  <c:v>3</c:v>
                </c:pt>
                <c:pt idx="2">
                  <c:v>3</c:v>
                </c:pt>
              </c:numCache>
            </c:numRef>
          </c:val>
        </c:ser>
        <c:dLbls>
          <c:dLblPos val="ctr"/>
          <c:showLegendKey val="0"/>
          <c:showVal val="1"/>
          <c:showCatName val="0"/>
          <c:showSerName val="0"/>
          <c:showPercent val="0"/>
          <c:showBubbleSize val="0"/>
        </c:dLbls>
        <c:gapWidth val="150"/>
        <c:overlap val="100"/>
        <c:axId val="317441800"/>
        <c:axId val="317440624"/>
      </c:barChart>
      <c:catAx>
        <c:axId val="317441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7440624"/>
        <c:crosses val="autoZero"/>
        <c:auto val="1"/>
        <c:lblAlgn val="ctr"/>
        <c:lblOffset val="100"/>
        <c:noMultiLvlLbl val="0"/>
      </c:catAx>
      <c:valAx>
        <c:axId val="317440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7441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lv-LV">
                <a:solidFill>
                  <a:sysClr val="windowText" lastClr="000000"/>
                </a:solidFill>
                <a:latin typeface="Times New Roman" panose="02020603050405020304" pitchFamily="18" charset="0"/>
                <a:cs typeface="Times New Roman" panose="02020603050405020304" pitchFamily="18" charset="0"/>
              </a:rPr>
              <a:t>2014. gads                      </a:t>
            </a:r>
            <a:r>
              <a:rPr lang="lv-LV" sz="1100">
                <a:solidFill>
                  <a:sysClr val="windowText" lastClr="000000"/>
                </a:solidFill>
                <a:latin typeface="Times New Roman" panose="02020603050405020304" pitchFamily="18" charset="0"/>
                <a:cs typeface="Times New Roman" panose="02020603050405020304" pitchFamily="18" charset="0"/>
              </a:rPr>
              <a:t>(142 bāriņtiesas; 6241 lieta)</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2.1260515512484014E-2"/>
          <c:y val="0.21979596441847485"/>
          <c:w val="0.95373679251631993"/>
          <c:h val="0.67322597118799055"/>
        </c:manualLayout>
      </c:layout>
      <c:doughnutChart>
        <c:varyColors val="1"/>
        <c:ser>
          <c:idx val="0"/>
          <c:order val="0"/>
          <c:tx>
            <c:strRef>
              <c:f>Sheet1!$B$1</c:f>
              <c:strCache>
                <c:ptCount val="1"/>
                <c:pt idx="0">
                  <c:v>Bāriņtiesu iedalījums pēc ierosināto lietu skaita 2014. gadā</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0-20 lietas</c:v>
                </c:pt>
                <c:pt idx="1">
                  <c:v>21-50 lietas </c:v>
                </c:pt>
                <c:pt idx="2">
                  <c:v>51-100 lietas</c:v>
                </c:pt>
                <c:pt idx="3">
                  <c:v>101-200 lietas</c:v>
                </c:pt>
                <c:pt idx="4">
                  <c:v>Vairāk kā 201 lietas</c:v>
                </c:pt>
              </c:strCache>
            </c:strRef>
          </c:cat>
          <c:val>
            <c:numRef>
              <c:f>Sheet1!$B$2:$B$6</c:f>
              <c:numCache>
                <c:formatCode>General</c:formatCode>
                <c:ptCount val="5"/>
                <c:pt idx="0">
                  <c:v>69</c:v>
                </c:pt>
                <c:pt idx="1">
                  <c:v>50</c:v>
                </c:pt>
                <c:pt idx="2">
                  <c:v>14</c:v>
                </c:pt>
                <c:pt idx="3">
                  <c:v>5</c:v>
                </c:pt>
                <c:pt idx="4">
                  <c:v>4</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lv-LV">
                <a:solidFill>
                  <a:sysClr val="windowText" lastClr="000000"/>
                </a:solidFill>
                <a:latin typeface="Times New Roman" panose="02020603050405020304" pitchFamily="18" charset="0"/>
                <a:cs typeface="Times New Roman" panose="02020603050405020304" pitchFamily="18" charset="0"/>
              </a:rPr>
              <a:t>2015. gads                                 </a:t>
            </a:r>
            <a:r>
              <a:rPr lang="lv-LV" sz="1100">
                <a:solidFill>
                  <a:sysClr val="windowText" lastClr="000000"/>
                </a:solidFill>
                <a:latin typeface="Times New Roman" panose="02020603050405020304" pitchFamily="18" charset="0"/>
                <a:cs typeface="Times New Roman" panose="02020603050405020304" pitchFamily="18" charset="0"/>
              </a:rPr>
              <a:t>(142 bāriņtiesas; 5954 lietas)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3.670699699122975E-2"/>
          <c:y val="0.14467815285465557"/>
          <c:w val="0.93961510511511792"/>
          <c:h val="0.77128833494743643"/>
        </c:manualLayout>
      </c:layout>
      <c:doughnutChart>
        <c:varyColors val="1"/>
        <c:ser>
          <c:idx val="0"/>
          <c:order val="0"/>
          <c:tx>
            <c:strRef>
              <c:f>Sheet1!$B$1</c:f>
              <c:strCache>
                <c:ptCount val="1"/>
                <c:pt idx="0">
                  <c:v>Bāriņtiesu iedalījums pēc ierosināto lietu skaita 2015. gadā</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0-20 lietas</c:v>
                </c:pt>
                <c:pt idx="1">
                  <c:v>21-50 lietas</c:v>
                </c:pt>
                <c:pt idx="2">
                  <c:v>51-100 lietas</c:v>
                </c:pt>
                <c:pt idx="3">
                  <c:v>101-200 lietas</c:v>
                </c:pt>
                <c:pt idx="4">
                  <c:v>Vairāk kā 201 lietas</c:v>
                </c:pt>
              </c:strCache>
            </c:strRef>
          </c:cat>
          <c:val>
            <c:numRef>
              <c:f>Sheet1!$B$2:$B$6</c:f>
              <c:numCache>
                <c:formatCode>General</c:formatCode>
                <c:ptCount val="5"/>
                <c:pt idx="0">
                  <c:v>78</c:v>
                </c:pt>
                <c:pt idx="1">
                  <c:v>39</c:v>
                </c:pt>
                <c:pt idx="2">
                  <c:v>17</c:v>
                </c:pt>
                <c:pt idx="3">
                  <c:v>4</c:v>
                </c:pt>
                <c:pt idx="4">
                  <c:v>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lv-LV" sz="1400">
                <a:solidFill>
                  <a:sysClr val="windowText" lastClr="000000"/>
                </a:solidFill>
                <a:latin typeface="Times New Roman" panose="02020603050405020304" pitchFamily="18" charset="0"/>
                <a:cs typeface="Times New Roman" panose="02020603050405020304" pitchFamily="18" charset="0"/>
              </a:rPr>
              <a:t>2016. gads</a:t>
            </a:r>
          </a:p>
          <a:p>
            <a:pPr>
              <a:defRPr/>
            </a:pPr>
            <a:r>
              <a:rPr lang="lv-LV" sz="1050">
                <a:solidFill>
                  <a:sysClr val="windowText" lastClr="000000"/>
                </a:solidFill>
                <a:latin typeface="Times New Roman" panose="02020603050405020304" pitchFamily="18" charset="0"/>
                <a:cs typeface="Times New Roman" panose="02020603050405020304" pitchFamily="18" charset="0"/>
              </a:rPr>
              <a:t>(139 bāriņtiesas; 6353 lietas)</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9.7549710310978935E-2"/>
          <c:y val="0.21594285892129098"/>
          <c:w val="0.90245028968902108"/>
          <c:h val="0.62877096884628547"/>
        </c:manualLayout>
      </c:layout>
      <c:doughnutChart>
        <c:varyColors val="1"/>
        <c:ser>
          <c:idx val="0"/>
          <c:order val="0"/>
          <c:tx>
            <c:strRef>
              <c:f>Sheet1!$B$1</c:f>
              <c:strCache>
                <c:ptCount val="1"/>
                <c:pt idx="0">
                  <c:v>Bāriņtiesu iedalījums pēc ierosināto lietu skaita 2016. gadā</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0-20 lietas</c:v>
                </c:pt>
                <c:pt idx="1">
                  <c:v>21-50 lietas</c:v>
                </c:pt>
                <c:pt idx="2">
                  <c:v>51-100 lietas</c:v>
                </c:pt>
                <c:pt idx="3">
                  <c:v>101-200 lietas</c:v>
                </c:pt>
                <c:pt idx="4">
                  <c:v>Vairāk kā 201 lietas</c:v>
                </c:pt>
              </c:strCache>
            </c:strRef>
          </c:cat>
          <c:val>
            <c:numRef>
              <c:f>Sheet1!$B$2:$B$6</c:f>
              <c:numCache>
                <c:formatCode>General</c:formatCode>
                <c:ptCount val="5"/>
                <c:pt idx="0">
                  <c:v>79</c:v>
                </c:pt>
                <c:pt idx="1">
                  <c:v>36</c:v>
                </c:pt>
                <c:pt idx="2">
                  <c:v>15</c:v>
                </c:pt>
                <c:pt idx="3">
                  <c:v>6</c:v>
                </c:pt>
                <c:pt idx="4">
                  <c:v>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layout>
        <c:manualLayout>
          <c:xMode val="edge"/>
          <c:yMode val="edge"/>
          <c:x val="0"/>
          <c:y val="0.87559636073158842"/>
          <c:w val="0.9622030992256001"/>
          <c:h val="0.123674125714522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3C7A-E22E-476C-96AE-2BB95F53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3294</Words>
  <Characters>1879</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Bluma</dc:creator>
  <cp:keywords/>
  <dc:description/>
  <cp:lastModifiedBy>Taivo Trams</cp:lastModifiedBy>
  <cp:revision>2</cp:revision>
  <cp:lastPrinted>2017-06-15T08:34:00Z</cp:lastPrinted>
  <dcterms:created xsi:type="dcterms:W3CDTF">2017-07-05T09:44:00Z</dcterms:created>
  <dcterms:modified xsi:type="dcterms:W3CDTF">2017-07-05T09:44:00Z</dcterms:modified>
</cp:coreProperties>
</file>