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34.xml" ContentType="application/vnd.openxmlformats-officedocument.drawingml.chart+xml"/>
  <Override PartName="/word/charts/chart35.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36.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7.xml" ContentType="application/vnd.openxmlformats-officedocument.drawingml.chart+xml"/>
  <Override PartName="/word/charts/chart38.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9.xml" ContentType="application/vnd.openxmlformats-officedocument.drawingml.chart+xml"/>
  <Override PartName="/word/charts/style31.xml" ContentType="application/vnd.ms-office.chartstyle+xml"/>
  <Override PartName="/word/charts/colors3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4FE2" w:rsidRPr="00090CDE" w:rsidRDefault="00284FE2" w:rsidP="00284FE2">
      <w:pPr>
        <w:autoSpaceDE w:val="0"/>
        <w:autoSpaceDN w:val="0"/>
        <w:adjustRightInd w:val="0"/>
        <w:spacing w:after="0" w:line="240" w:lineRule="auto"/>
        <w:jc w:val="center"/>
        <w:rPr>
          <w:rFonts w:cs="Times New Roman"/>
          <w:b/>
          <w:bCs/>
          <w:sz w:val="28"/>
          <w:szCs w:val="28"/>
        </w:rPr>
      </w:pPr>
      <w:r w:rsidRPr="00090CDE">
        <w:rPr>
          <w:rFonts w:cs="Times New Roman"/>
          <w:b/>
          <w:bCs/>
          <w:sz w:val="28"/>
          <w:szCs w:val="28"/>
        </w:rPr>
        <w:t>B</w:t>
      </w:r>
      <w:r w:rsidRPr="00090CDE">
        <w:rPr>
          <w:rFonts w:ascii="TT51Eo00" w:hAnsi="TT51Eo00" w:cs="TT51Eo00"/>
          <w:sz w:val="28"/>
          <w:szCs w:val="28"/>
        </w:rPr>
        <w:t>Ā</w:t>
      </w:r>
      <w:r w:rsidRPr="00090CDE">
        <w:rPr>
          <w:rFonts w:cs="Times New Roman"/>
          <w:b/>
          <w:bCs/>
          <w:sz w:val="28"/>
          <w:szCs w:val="28"/>
        </w:rPr>
        <w:t>RI</w:t>
      </w:r>
      <w:r w:rsidRPr="00090CDE">
        <w:rPr>
          <w:rFonts w:ascii="TT51Eo00" w:hAnsi="TT51Eo00" w:cs="TT51Eo00"/>
          <w:sz w:val="28"/>
          <w:szCs w:val="28"/>
        </w:rPr>
        <w:t>Ņ</w:t>
      </w:r>
      <w:r w:rsidRPr="00090CDE">
        <w:rPr>
          <w:rFonts w:cs="Times New Roman"/>
          <w:b/>
          <w:bCs/>
          <w:sz w:val="28"/>
          <w:szCs w:val="28"/>
        </w:rPr>
        <w:t>TIESU IESNIEGTO IKGADA VALSTS STATISTIKAS P</w:t>
      </w:r>
      <w:r w:rsidRPr="00090CDE">
        <w:rPr>
          <w:rFonts w:ascii="TT51Eo00" w:hAnsi="TT51Eo00" w:cs="TT51Eo00"/>
          <w:sz w:val="28"/>
          <w:szCs w:val="28"/>
        </w:rPr>
        <w:t>Ā</w:t>
      </w:r>
      <w:r w:rsidRPr="00090CDE">
        <w:rPr>
          <w:rFonts w:cs="Times New Roman"/>
          <w:b/>
          <w:bCs/>
          <w:sz w:val="28"/>
          <w:szCs w:val="28"/>
        </w:rPr>
        <w:t>RSKATU</w:t>
      </w:r>
    </w:p>
    <w:p w:rsidR="00C64FB9" w:rsidRPr="00090CDE" w:rsidRDefault="00284FE2" w:rsidP="0001434B">
      <w:pPr>
        <w:jc w:val="center"/>
        <w:rPr>
          <w:rFonts w:cs="Times New Roman"/>
          <w:b/>
          <w:bCs/>
          <w:sz w:val="28"/>
          <w:szCs w:val="28"/>
        </w:rPr>
      </w:pPr>
      <w:r w:rsidRPr="00090CDE">
        <w:rPr>
          <w:rFonts w:cs="Times New Roman"/>
          <w:b/>
          <w:bCs/>
          <w:sz w:val="28"/>
          <w:szCs w:val="28"/>
        </w:rPr>
        <w:t>PAR B</w:t>
      </w:r>
      <w:r w:rsidRPr="00090CDE">
        <w:rPr>
          <w:rFonts w:ascii="TT51Eo00" w:hAnsi="TT51Eo00" w:cs="TT51Eo00"/>
          <w:sz w:val="28"/>
          <w:szCs w:val="28"/>
        </w:rPr>
        <w:t>Ā</w:t>
      </w:r>
      <w:r w:rsidRPr="00090CDE">
        <w:rPr>
          <w:rFonts w:cs="Times New Roman"/>
          <w:b/>
          <w:bCs/>
          <w:sz w:val="28"/>
          <w:szCs w:val="28"/>
        </w:rPr>
        <w:t>RI</w:t>
      </w:r>
      <w:r w:rsidRPr="00090CDE">
        <w:rPr>
          <w:rFonts w:ascii="TT51Eo00" w:hAnsi="TT51Eo00" w:cs="TT51Eo00"/>
          <w:sz w:val="28"/>
          <w:szCs w:val="28"/>
        </w:rPr>
        <w:t>Ņ</w:t>
      </w:r>
      <w:r w:rsidR="004C1F92" w:rsidRPr="00090CDE">
        <w:rPr>
          <w:rFonts w:cs="Times New Roman"/>
          <w:b/>
          <w:bCs/>
          <w:sz w:val="28"/>
          <w:szCs w:val="28"/>
        </w:rPr>
        <w:t>TIESU DARBU 2015</w:t>
      </w:r>
      <w:r w:rsidRPr="00090CDE">
        <w:rPr>
          <w:rFonts w:cs="Times New Roman"/>
          <w:b/>
          <w:bCs/>
          <w:sz w:val="28"/>
          <w:szCs w:val="28"/>
        </w:rPr>
        <w:t>.GAD</w:t>
      </w:r>
      <w:r w:rsidRPr="00090CDE">
        <w:rPr>
          <w:rFonts w:ascii="TT51Eo00" w:hAnsi="TT51Eo00" w:cs="TT51Eo00"/>
          <w:sz w:val="28"/>
          <w:szCs w:val="28"/>
        </w:rPr>
        <w:t xml:space="preserve">Ā </w:t>
      </w:r>
      <w:r w:rsidRPr="00090CDE">
        <w:rPr>
          <w:rFonts w:cs="Times New Roman"/>
          <w:b/>
          <w:bCs/>
          <w:sz w:val="28"/>
          <w:szCs w:val="28"/>
        </w:rPr>
        <w:t>ANAL</w:t>
      </w:r>
      <w:r w:rsidRPr="00090CDE">
        <w:rPr>
          <w:rFonts w:ascii="TT51Eo00" w:hAnsi="TT51Eo00" w:cs="TT51Eo00"/>
          <w:sz w:val="28"/>
          <w:szCs w:val="28"/>
        </w:rPr>
        <w:t>Ī</w:t>
      </w:r>
      <w:r w:rsidRPr="00090CDE">
        <w:rPr>
          <w:rFonts w:cs="Times New Roman"/>
          <w:b/>
          <w:bCs/>
          <w:sz w:val="28"/>
          <w:szCs w:val="28"/>
        </w:rPr>
        <w:t>ZE</w:t>
      </w:r>
    </w:p>
    <w:p w:rsidR="00A44E81" w:rsidRPr="00090CDE" w:rsidRDefault="00C64FB9" w:rsidP="0001086E">
      <w:pPr>
        <w:autoSpaceDE w:val="0"/>
        <w:autoSpaceDN w:val="0"/>
        <w:adjustRightInd w:val="0"/>
        <w:spacing w:after="0" w:line="240" w:lineRule="auto"/>
        <w:rPr>
          <w:rFonts w:cs="Times New Roman"/>
          <w:sz w:val="28"/>
          <w:szCs w:val="28"/>
        </w:rPr>
      </w:pPr>
      <w:r w:rsidRPr="00090CDE">
        <w:rPr>
          <w:rFonts w:cs="Times New Roman"/>
          <w:sz w:val="28"/>
          <w:szCs w:val="28"/>
        </w:rPr>
        <w:tab/>
      </w:r>
    </w:p>
    <w:p w:rsidR="0030151E" w:rsidRPr="00090CDE" w:rsidRDefault="00A44E81" w:rsidP="0001086E">
      <w:pPr>
        <w:autoSpaceDE w:val="0"/>
        <w:autoSpaceDN w:val="0"/>
        <w:adjustRightInd w:val="0"/>
        <w:spacing w:after="0" w:line="240" w:lineRule="auto"/>
        <w:rPr>
          <w:sz w:val="28"/>
          <w:szCs w:val="28"/>
        </w:rPr>
      </w:pPr>
      <w:r w:rsidRPr="00090CDE">
        <w:rPr>
          <w:rFonts w:cs="Times New Roman"/>
          <w:sz w:val="28"/>
          <w:szCs w:val="28"/>
        </w:rPr>
        <w:tab/>
        <w:t xml:space="preserve">Saskaņā ar Bāriņtiesu likuma 2.panta pirmajā daļā noteikto </w:t>
      </w:r>
      <w:r w:rsidRPr="00090CDE">
        <w:rPr>
          <w:sz w:val="28"/>
          <w:szCs w:val="28"/>
        </w:rPr>
        <w:t>bāriņtiesa ir novada vai republikas pilsētas pašvaldības izveidota aizbildnības un aizgādnības iestāde, kuras kompetence</w:t>
      </w:r>
      <w:r w:rsidR="00E5518A" w:rsidRPr="00090CDE">
        <w:rPr>
          <w:sz w:val="28"/>
          <w:szCs w:val="28"/>
        </w:rPr>
        <w:t>, tajā skaitā bāriņtiesas tiesības un pienākumi</w:t>
      </w:r>
      <w:r w:rsidR="005B6F52" w:rsidRPr="00090CDE">
        <w:rPr>
          <w:sz w:val="28"/>
          <w:szCs w:val="28"/>
        </w:rPr>
        <w:t>,</w:t>
      </w:r>
      <w:r w:rsidRPr="00090CDE">
        <w:rPr>
          <w:sz w:val="28"/>
          <w:szCs w:val="28"/>
        </w:rPr>
        <w:t xml:space="preserve"> noteikta Bāriņtiesu likuma IV nodaļā. </w:t>
      </w:r>
      <w:r w:rsidR="00E5518A" w:rsidRPr="00090CDE">
        <w:rPr>
          <w:sz w:val="28"/>
          <w:szCs w:val="28"/>
        </w:rPr>
        <w:t xml:space="preserve">Atbilstoši minētā likuma 4.pantā noteiktajiem bāriņtiesas darbības principiem, </w:t>
      </w:r>
      <w:r w:rsidR="00BD7E13" w:rsidRPr="00090CDE">
        <w:rPr>
          <w:sz w:val="28"/>
          <w:szCs w:val="28"/>
        </w:rPr>
        <w:t xml:space="preserve">bāriņtiesa savā darbībā pamatojas uz normatīvajiem aktiem un prioritāri nodrošina bērna vai aizgādnībā esošās personas tiesību un </w:t>
      </w:r>
      <w:r w:rsidR="00722385" w:rsidRPr="00090CDE">
        <w:rPr>
          <w:sz w:val="28"/>
          <w:szCs w:val="28"/>
        </w:rPr>
        <w:t xml:space="preserve">tiesisko </w:t>
      </w:r>
      <w:r w:rsidR="00BD7E13" w:rsidRPr="00090CDE">
        <w:rPr>
          <w:sz w:val="28"/>
          <w:szCs w:val="28"/>
        </w:rPr>
        <w:t xml:space="preserve">interešu aizsardzību. </w:t>
      </w:r>
      <w:r w:rsidR="00B255ED" w:rsidRPr="00090CDE">
        <w:rPr>
          <w:sz w:val="28"/>
          <w:szCs w:val="28"/>
        </w:rPr>
        <w:t xml:space="preserve">Bāriņtiesa savas kompetences ietvaros, aizstāvot bērna un aizgādnībā esošās personas intereses, </w:t>
      </w:r>
      <w:r w:rsidR="0030151E" w:rsidRPr="00090CDE">
        <w:rPr>
          <w:sz w:val="28"/>
          <w:szCs w:val="28"/>
        </w:rPr>
        <w:t>izlemj ar aizbildnību, aizgādnību, adopciju vai ar aizgādību saistīto</w:t>
      </w:r>
      <w:r w:rsidR="00027C75" w:rsidRPr="00090CDE">
        <w:rPr>
          <w:sz w:val="28"/>
          <w:szCs w:val="28"/>
        </w:rPr>
        <w:t xml:space="preserve">s jautājumus, kā arī </w:t>
      </w:r>
      <w:r w:rsidR="0077624A" w:rsidRPr="00090CDE">
        <w:rPr>
          <w:sz w:val="28"/>
          <w:szCs w:val="28"/>
        </w:rPr>
        <w:t>īsteno citus normatīvajos aktos paredzētos bērna/aizgādnībā esošās personas personisko interešu aizsardzības pasākumus.</w:t>
      </w:r>
    </w:p>
    <w:p w:rsidR="0016440B" w:rsidRPr="00090CDE" w:rsidRDefault="00083CE0" w:rsidP="0016440B">
      <w:pPr>
        <w:autoSpaceDE w:val="0"/>
        <w:autoSpaceDN w:val="0"/>
        <w:adjustRightInd w:val="0"/>
        <w:spacing w:after="0" w:line="240" w:lineRule="auto"/>
        <w:ind w:firstLine="720"/>
        <w:rPr>
          <w:sz w:val="28"/>
          <w:szCs w:val="28"/>
        </w:rPr>
      </w:pPr>
      <w:r w:rsidRPr="00090CDE">
        <w:rPr>
          <w:sz w:val="28"/>
          <w:szCs w:val="28"/>
        </w:rPr>
        <w:t xml:space="preserve">Atbilstoši </w:t>
      </w:r>
      <w:r w:rsidR="005E7E84" w:rsidRPr="00090CDE">
        <w:rPr>
          <w:bCs/>
          <w:sz w:val="28"/>
          <w:szCs w:val="28"/>
        </w:rPr>
        <w:t>2005.gada 29.novembra Ministru kabineta noteikumu Nr.898 „Valsts bērnu tiesību aizsardzības inspekcijas nolikums”</w:t>
      </w:r>
      <w:r w:rsidR="0052622A" w:rsidRPr="00090CDE">
        <w:rPr>
          <w:bCs/>
          <w:sz w:val="28"/>
          <w:szCs w:val="28"/>
        </w:rPr>
        <w:t xml:space="preserve"> (turpmāk </w:t>
      </w:r>
      <w:r w:rsidR="0052622A" w:rsidRPr="00090CDE">
        <w:rPr>
          <w:sz w:val="28"/>
          <w:szCs w:val="28"/>
        </w:rPr>
        <w:t>– inspekcijas nolikums)</w:t>
      </w:r>
      <w:r w:rsidR="005E7E84" w:rsidRPr="00090CDE">
        <w:rPr>
          <w:bCs/>
          <w:sz w:val="28"/>
          <w:szCs w:val="28"/>
        </w:rPr>
        <w:t xml:space="preserve"> 2.2.punktā un Bāriņtiesu liku</w:t>
      </w:r>
      <w:r w:rsidRPr="00090CDE">
        <w:rPr>
          <w:bCs/>
          <w:sz w:val="28"/>
          <w:szCs w:val="28"/>
        </w:rPr>
        <w:t>ma 5.panta pirmajā daļā noteiktajam</w:t>
      </w:r>
      <w:r w:rsidR="005E7E84" w:rsidRPr="00090CDE">
        <w:rPr>
          <w:bCs/>
          <w:sz w:val="28"/>
          <w:szCs w:val="28"/>
        </w:rPr>
        <w:t xml:space="preserve"> </w:t>
      </w:r>
      <w:r w:rsidR="005D3027" w:rsidRPr="00090CDE">
        <w:rPr>
          <w:rFonts w:cs="Times New Roman"/>
          <w:sz w:val="28"/>
          <w:szCs w:val="28"/>
        </w:rPr>
        <w:t>Valsts b</w:t>
      </w:r>
      <w:r w:rsidR="005D3027" w:rsidRPr="00090CDE">
        <w:rPr>
          <w:rFonts w:ascii="TT521o00" w:hAnsi="TT521o00" w:cs="TT521o00"/>
          <w:sz w:val="28"/>
          <w:szCs w:val="28"/>
        </w:rPr>
        <w:t>ē</w:t>
      </w:r>
      <w:r w:rsidR="005D3027" w:rsidRPr="00090CDE">
        <w:rPr>
          <w:rFonts w:cs="Times New Roman"/>
          <w:sz w:val="28"/>
          <w:szCs w:val="28"/>
        </w:rPr>
        <w:t>rnu ties</w:t>
      </w:r>
      <w:r w:rsidR="005D3027" w:rsidRPr="00090CDE">
        <w:rPr>
          <w:rFonts w:ascii="TT521o00" w:hAnsi="TT521o00" w:cs="TT521o00"/>
          <w:sz w:val="28"/>
          <w:szCs w:val="28"/>
        </w:rPr>
        <w:t>ī</w:t>
      </w:r>
      <w:r w:rsidR="005D3027" w:rsidRPr="00090CDE">
        <w:rPr>
          <w:rFonts w:cs="Times New Roman"/>
          <w:sz w:val="28"/>
          <w:szCs w:val="28"/>
        </w:rPr>
        <w:t>bu aizsardz</w:t>
      </w:r>
      <w:r w:rsidR="005D3027" w:rsidRPr="00090CDE">
        <w:rPr>
          <w:rFonts w:ascii="TT521o00" w:hAnsi="TT521o00" w:cs="TT521o00"/>
          <w:sz w:val="28"/>
          <w:szCs w:val="28"/>
        </w:rPr>
        <w:t>ī</w:t>
      </w:r>
      <w:r w:rsidR="005D3027" w:rsidRPr="00090CDE">
        <w:rPr>
          <w:rFonts w:cs="Times New Roman"/>
          <w:sz w:val="28"/>
          <w:szCs w:val="28"/>
        </w:rPr>
        <w:t>bas inspekcij</w:t>
      </w:r>
      <w:r w:rsidR="005D3027" w:rsidRPr="00090CDE">
        <w:rPr>
          <w:rFonts w:ascii="TT521o00" w:hAnsi="TT521o00" w:cs="TT521o00"/>
          <w:sz w:val="28"/>
          <w:szCs w:val="28"/>
        </w:rPr>
        <w:t>a</w:t>
      </w:r>
      <w:r w:rsidR="005D3027" w:rsidRPr="00090CDE">
        <w:rPr>
          <w:rFonts w:cs="Times New Roman"/>
          <w:sz w:val="28"/>
          <w:szCs w:val="28"/>
        </w:rPr>
        <w:t xml:space="preserve"> (turpm</w:t>
      </w:r>
      <w:r w:rsidR="005D3027" w:rsidRPr="00090CDE">
        <w:rPr>
          <w:rFonts w:ascii="TT521o00" w:hAnsi="TT521o00" w:cs="TT521o00"/>
          <w:sz w:val="28"/>
          <w:szCs w:val="28"/>
        </w:rPr>
        <w:t>ā</w:t>
      </w:r>
      <w:r w:rsidR="005D3027" w:rsidRPr="00090CDE">
        <w:rPr>
          <w:rFonts w:cs="Times New Roman"/>
          <w:sz w:val="28"/>
          <w:szCs w:val="28"/>
        </w:rPr>
        <w:t>k – inspekcija)</w:t>
      </w:r>
      <w:r w:rsidR="005E7E84" w:rsidRPr="00090CDE">
        <w:rPr>
          <w:bCs/>
          <w:sz w:val="28"/>
          <w:szCs w:val="28"/>
        </w:rPr>
        <w:t xml:space="preserve"> </w:t>
      </w:r>
      <w:r w:rsidR="005E7E84" w:rsidRPr="00090CDE">
        <w:rPr>
          <w:sz w:val="28"/>
          <w:szCs w:val="28"/>
        </w:rPr>
        <w:t>nodrošina normatīvo aktu ievērošanas uzraudzību un kontroli bērnu tiesību aizsardzības un bāriņtiesu darbības jomā, tajā skaitā</w:t>
      </w:r>
      <w:r w:rsidR="005E7E84" w:rsidRPr="00090CDE">
        <w:rPr>
          <w:bCs/>
          <w:sz w:val="28"/>
          <w:szCs w:val="28"/>
        </w:rPr>
        <w:t xml:space="preserve"> uzrauga bāriņtiesu darbību bērna un aizgādnībā esošas personas tiesību un interešu aizsardzībā un sniedz tām metodisko palīdzību.</w:t>
      </w:r>
      <w:r w:rsidR="009971EE" w:rsidRPr="00090CDE">
        <w:rPr>
          <w:bCs/>
          <w:sz w:val="28"/>
          <w:szCs w:val="28"/>
        </w:rPr>
        <w:t xml:space="preserve"> </w:t>
      </w:r>
      <w:r w:rsidR="00B060B5" w:rsidRPr="00090CDE">
        <w:rPr>
          <w:bCs/>
          <w:sz w:val="28"/>
          <w:szCs w:val="28"/>
        </w:rPr>
        <w:t xml:space="preserve">Atbilstoši </w:t>
      </w:r>
      <w:r w:rsidR="00B060B5" w:rsidRPr="00090CDE">
        <w:rPr>
          <w:sz w:val="28"/>
          <w:szCs w:val="28"/>
        </w:rPr>
        <w:t>inspekcijas funkcijām un uzdevumiem, kas paredzēti inspekcija</w:t>
      </w:r>
      <w:r w:rsidR="0025286E" w:rsidRPr="00090CDE">
        <w:rPr>
          <w:sz w:val="28"/>
          <w:szCs w:val="28"/>
        </w:rPr>
        <w:t>s nolikumā, inspekcija tostarp</w:t>
      </w:r>
      <w:r w:rsidR="00B060B5" w:rsidRPr="00090CDE">
        <w:rPr>
          <w:sz w:val="28"/>
          <w:szCs w:val="28"/>
        </w:rPr>
        <w:t xml:space="preserve"> analizē situāciju </w:t>
      </w:r>
      <w:r w:rsidR="00870842" w:rsidRPr="00090CDE">
        <w:rPr>
          <w:sz w:val="28"/>
          <w:szCs w:val="28"/>
        </w:rPr>
        <w:t xml:space="preserve">bērnu tiesību aizsardzības jomā, kā arī </w:t>
      </w:r>
      <w:r w:rsidR="00B0168F" w:rsidRPr="00090CDE">
        <w:rPr>
          <w:sz w:val="28"/>
          <w:szCs w:val="28"/>
        </w:rPr>
        <w:t>informē sabiedrīb</w:t>
      </w:r>
      <w:r w:rsidR="0016440B" w:rsidRPr="00090CDE">
        <w:rPr>
          <w:sz w:val="28"/>
          <w:szCs w:val="28"/>
        </w:rPr>
        <w:t>u inspekcijas kompetences jomā.</w:t>
      </w:r>
      <w:r w:rsidR="00677A64" w:rsidRPr="00090CDE">
        <w:rPr>
          <w:sz w:val="28"/>
          <w:szCs w:val="28"/>
        </w:rPr>
        <w:t xml:space="preserve"> </w:t>
      </w:r>
    </w:p>
    <w:p w:rsidR="004007C5" w:rsidRPr="00090CDE" w:rsidRDefault="0016440B" w:rsidP="004007C5">
      <w:pPr>
        <w:autoSpaceDE w:val="0"/>
        <w:autoSpaceDN w:val="0"/>
        <w:adjustRightInd w:val="0"/>
        <w:spacing w:after="0" w:line="240" w:lineRule="auto"/>
        <w:ind w:firstLine="720"/>
        <w:rPr>
          <w:sz w:val="28"/>
          <w:szCs w:val="28"/>
        </w:rPr>
      </w:pPr>
      <w:r w:rsidRPr="00090CDE">
        <w:rPr>
          <w:sz w:val="28"/>
          <w:szCs w:val="28"/>
        </w:rPr>
        <w:t xml:space="preserve">Ministru kabineta 2011.gada 4.oktobra noteikumu Nr.763 „Noteikumi par bāriņtiesas ikgadējā pārskata veidlapas paraugu un pārskata iesniegšanas un aizpildīšanas kārtību” </w:t>
      </w:r>
      <w:r w:rsidRPr="00090CDE">
        <w:rPr>
          <w:rFonts w:cs="Times New Roman"/>
          <w:sz w:val="28"/>
          <w:szCs w:val="28"/>
        </w:rPr>
        <w:t>1. un 2.punkt</w:t>
      </w:r>
      <w:r w:rsidRPr="00090CDE">
        <w:rPr>
          <w:rFonts w:ascii="TT521o00" w:hAnsi="TT521o00" w:cs="TT521o00"/>
          <w:sz w:val="28"/>
          <w:szCs w:val="28"/>
        </w:rPr>
        <w:t xml:space="preserve">ā </w:t>
      </w:r>
      <w:r w:rsidRPr="00090CDE">
        <w:rPr>
          <w:rFonts w:cs="Times New Roman"/>
          <w:sz w:val="28"/>
          <w:szCs w:val="28"/>
        </w:rPr>
        <w:t>noteikts, ka b</w:t>
      </w:r>
      <w:r w:rsidRPr="00090CDE">
        <w:rPr>
          <w:rFonts w:ascii="TT521o00" w:hAnsi="TT521o00" w:cs="TT521o00"/>
          <w:sz w:val="28"/>
          <w:szCs w:val="28"/>
        </w:rPr>
        <w:t>ā</w:t>
      </w:r>
      <w:r w:rsidRPr="00090CDE">
        <w:rPr>
          <w:rFonts w:cs="Times New Roman"/>
          <w:sz w:val="28"/>
          <w:szCs w:val="28"/>
        </w:rPr>
        <w:t>ri</w:t>
      </w:r>
      <w:r w:rsidRPr="00090CDE">
        <w:rPr>
          <w:rFonts w:ascii="TT521o00" w:hAnsi="TT521o00" w:cs="TT521o00"/>
          <w:sz w:val="28"/>
          <w:szCs w:val="28"/>
        </w:rPr>
        <w:t>ņ</w:t>
      </w:r>
      <w:r w:rsidRPr="00090CDE">
        <w:rPr>
          <w:rFonts w:cs="Times New Roman"/>
          <w:sz w:val="28"/>
          <w:szCs w:val="28"/>
        </w:rPr>
        <w:t>tiesa apkopo ikgad</w:t>
      </w:r>
      <w:r w:rsidRPr="00090CDE">
        <w:rPr>
          <w:rFonts w:ascii="TT521o00" w:hAnsi="TT521o00" w:cs="TT521o00"/>
          <w:sz w:val="28"/>
          <w:szCs w:val="28"/>
        </w:rPr>
        <w:t>ē</w:t>
      </w:r>
      <w:r w:rsidRPr="00090CDE">
        <w:rPr>
          <w:rFonts w:cs="Times New Roman"/>
          <w:sz w:val="28"/>
          <w:szCs w:val="28"/>
        </w:rPr>
        <w:t>j</w:t>
      </w:r>
      <w:r w:rsidRPr="00090CDE">
        <w:rPr>
          <w:rFonts w:ascii="TT521o00" w:hAnsi="TT521o00" w:cs="TT521o00"/>
          <w:sz w:val="28"/>
          <w:szCs w:val="28"/>
        </w:rPr>
        <w:t xml:space="preserve">ā </w:t>
      </w:r>
      <w:r w:rsidRPr="00090CDE">
        <w:rPr>
          <w:rFonts w:cs="Times New Roman"/>
          <w:sz w:val="28"/>
          <w:szCs w:val="28"/>
        </w:rPr>
        <w:t>valsts statistikas p</w:t>
      </w:r>
      <w:r w:rsidRPr="00090CDE">
        <w:rPr>
          <w:rFonts w:ascii="TT521o00" w:hAnsi="TT521o00" w:cs="TT521o00"/>
          <w:sz w:val="28"/>
          <w:szCs w:val="28"/>
        </w:rPr>
        <w:t>ā</w:t>
      </w:r>
      <w:r w:rsidRPr="00090CDE">
        <w:rPr>
          <w:rFonts w:cs="Times New Roman"/>
          <w:sz w:val="28"/>
          <w:szCs w:val="28"/>
        </w:rPr>
        <w:t>rskata veidlapas paraug</w:t>
      </w:r>
      <w:r w:rsidRPr="00090CDE">
        <w:rPr>
          <w:rFonts w:ascii="TT521o00" w:hAnsi="TT521o00" w:cs="TT521o00"/>
          <w:sz w:val="28"/>
          <w:szCs w:val="28"/>
        </w:rPr>
        <w:t xml:space="preserve">ā </w:t>
      </w:r>
      <w:r w:rsidRPr="00090CDE">
        <w:rPr>
          <w:bCs/>
          <w:sz w:val="28"/>
          <w:szCs w:val="28"/>
        </w:rPr>
        <w:t xml:space="preserve">(turpmāk </w:t>
      </w:r>
      <w:r w:rsidRPr="00090CDE">
        <w:rPr>
          <w:sz w:val="28"/>
          <w:szCs w:val="28"/>
        </w:rPr>
        <w:t xml:space="preserve">– pārskata veidlapa) </w:t>
      </w:r>
      <w:r w:rsidRPr="00090CDE">
        <w:rPr>
          <w:rFonts w:cs="Times New Roman"/>
          <w:sz w:val="28"/>
          <w:szCs w:val="28"/>
        </w:rPr>
        <w:t>nor</w:t>
      </w:r>
      <w:r w:rsidRPr="00090CDE">
        <w:rPr>
          <w:rFonts w:ascii="TT521o00" w:hAnsi="TT521o00" w:cs="TT521o00"/>
          <w:sz w:val="28"/>
          <w:szCs w:val="28"/>
        </w:rPr>
        <w:t>ā</w:t>
      </w:r>
      <w:r w:rsidRPr="00090CDE">
        <w:rPr>
          <w:rFonts w:cs="Times New Roman"/>
          <w:sz w:val="28"/>
          <w:szCs w:val="28"/>
        </w:rPr>
        <w:t>d</w:t>
      </w:r>
      <w:r w:rsidRPr="00090CDE">
        <w:rPr>
          <w:rFonts w:ascii="TT521o00" w:hAnsi="TT521o00" w:cs="TT521o00"/>
          <w:sz w:val="28"/>
          <w:szCs w:val="28"/>
        </w:rPr>
        <w:t>ī</w:t>
      </w:r>
      <w:r w:rsidRPr="00090CDE">
        <w:rPr>
          <w:rFonts w:cs="Times New Roman"/>
          <w:sz w:val="28"/>
          <w:szCs w:val="28"/>
        </w:rPr>
        <w:t>to inform</w:t>
      </w:r>
      <w:r w:rsidRPr="00090CDE">
        <w:rPr>
          <w:rFonts w:ascii="TT521o00" w:hAnsi="TT521o00" w:cs="TT521o00"/>
          <w:sz w:val="28"/>
          <w:szCs w:val="28"/>
        </w:rPr>
        <w:t>ā</w:t>
      </w:r>
      <w:r w:rsidRPr="00090CDE">
        <w:rPr>
          <w:rFonts w:cs="Times New Roman"/>
          <w:sz w:val="28"/>
          <w:szCs w:val="28"/>
        </w:rPr>
        <w:t>ciju, pamatojoties uz p</w:t>
      </w:r>
      <w:r w:rsidRPr="00090CDE">
        <w:rPr>
          <w:rFonts w:ascii="TT521o00" w:hAnsi="TT521o00" w:cs="TT521o00"/>
          <w:sz w:val="28"/>
          <w:szCs w:val="28"/>
        </w:rPr>
        <w:t>ā</w:t>
      </w:r>
      <w:r w:rsidRPr="00090CDE">
        <w:rPr>
          <w:rFonts w:cs="Times New Roman"/>
          <w:sz w:val="28"/>
          <w:szCs w:val="28"/>
        </w:rPr>
        <w:t>rskata gad</w:t>
      </w:r>
      <w:r w:rsidRPr="00090CDE">
        <w:rPr>
          <w:rFonts w:ascii="TT521o00" w:hAnsi="TT521o00" w:cs="TT521o00"/>
          <w:sz w:val="28"/>
          <w:szCs w:val="28"/>
        </w:rPr>
        <w:t xml:space="preserve">ā </w:t>
      </w:r>
      <w:r w:rsidRPr="00090CDE">
        <w:rPr>
          <w:rFonts w:cs="Times New Roman"/>
          <w:sz w:val="28"/>
          <w:szCs w:val="28"/>
        </w:rPr>
        <w:t>izskat</w:t>
      </w:r>
      <w:r w:rsidRPr="00090CDE">
        <w:rPr>
          <w:rFonts w:ascii="TT521o00" w:hAnsi="TT521o00" w:cs="TT521o00"/>
          <w:sz w:val="28"/>
          <w:szCs w:val="28"/>
        </w:rPr>
        <w:t>ī</w:t>
      </w:r>
      <w:r w:rsidRPr="00090CDE">
        <w:rPr>
          <w:rFonts w:cs="Times New Roman"/>
          <w:sz w:val="28"/>
          <w:szCs w:val="28"/>
        </w:rPr>
        <w:t>taj</w:t>
      </w:r>
      <w:r w:rsidRPr="00090CDE">
        <w:rPr>
          <w:rFonts w:ascii="TT521o00" w:hAnsi="TT521o00" w:cs="TT521o00"/>
          <w:sz w:val="28"/>
          <w:szCs w:val="28"/>
        </w:rPr>
        <w:t>ā</w:t>
      </w:r>
      <w:r w:rsidRPr="00090CDE">
        <w:rPr>
          <w:rFonts w:cs="Times New Roman"/>
          <w:sz w:val="28"/>
          <w:szCs w:val="28"/>
        </w:rPr>
        <w:t>m liet</w:t>
      </w:r>
      <w:r w:rsidRPr="00090CDE">
        <w:rPr>
          <w:rFonts w:ascii="TT521o00" w:hAnsi="TT521o00" w:cs="TT521o00"/>
          <w:sz w:val="28"/>
          <w:szCs w:val="28"/>
        </w:rPr>
        <w:t>ā</w:t>
      </w:r>
      <w:r w:rsidRPr="00090CDE">
        <w:rPr>
          <w:rFonts w:cs="Times New Roman"/>
          <w:sz w:val="28"/>
          <w:szCs w:val="28"/>
        </w:rPr>
        <w:t>m un pie</w:t>
      </w:r>
      <w:r w:rsidRPr="00090CDE">
        <w:rPr>
          <w:rFonts w:ascii="TT521o00" w:hAnsi="TT521o00" w:cs="TT521o00"/>
          <w:sz w:val="28"/>
          <w:szCs w:val="28"/>
        </w:rPr>
        <w:t>ņ</w:t>
      </w:r>
      <w:r w:rsidRPr="00090CDE">
        <w:rPr>
          <w:rFonts w:cs="Times New Roman"/>
          <w:sz w:val="28"/>
          <w:szCs w:val="28"/>
        </w:rPr>
        <w:t>emtajiem l</w:t>
      </w:r>
      <w:r w:rsidRPr="00090CDE">
        <w:rPr>
          <w:rFonts w:ascii="TT521o00" w:hAnsi="TT521o00" w:cs="TT521o00"/>
          <w:sz w:val="28"/>
          <w:szCs w:val="28"/>
        </w:rPr>
        <w:t>ē</w:t>
      </w:r>
      <w:r w:rsidRPr="00090CDE">
        <w:rPr>
          <w:rFonts w:cs="Times New Roman"/>
          <w:sz w:val="28"/>
          <w:szCs w:val="28"/>
        </w:rPr>
        <w:t>mumiem, aizpilda attiec</w:t>
      </w:r>
      <w:r w:rsidRPr="00090CDE">
        <w:rPr>
          <w:rFonts w:ascii="TT521o00" w:hAnsi="TT521o00" w:cs="TT521o00"/>
          <w:sz w:val="28"/>
          <w:szCs w:val="28"/>
        </w:rPr>
        <w:t>ī</w:t>
      </w:r>
      <w:r w:rsidRPr="00090CDE">
        <w:rPr>
          <w:rFonts w:cs="Times New Roman"/>
          <w:sz w:val="28"/>
          <w:szCs w:val="28"/>
        </w:rPr>
        <w:t>gu veidlapu un l</w:t>
      </w:r>
      <w:r w:rsidRPr="00090CDE">
        <w:rPr>
          <w:rFonts w:ascii="TT521o00" w:hAnsi="TT521o00" w:cs="TT521o00"/>
          <w:sz w:val="28"/>
          <w:szCs w:val="28"/>
        </w:rPr>
        <w:t>ī</w:t>
      </w:r>
      <w:r w:rsidRPr="00090CDE">
        <w:rPr>
          <w:rFonts w:cs="Times New Roman"/>
          <w:sz w:val="28"/>
          <w:szCs w:val="28"/>
        </w:rPr>
        <w:t>dz k</w:t>
      </w:r>
      <w:r w:rsidRPr="00090CDE">
        <w:rPr>
          <w:rFonts w:ascii="TT521o00" w:hAnsi="TT521o00" w:cs="TT521o00"/>
          <w:sz w:val="28"/>
          <w:szCs w:val="28"/>
        </w:rPr>
        <w:t>ā</w:t>
      </w:r>
      <w:r w:rsidRPr="00090CDE">
        <w:rPr>
          <w:rFonts w:cs="Times New Roman"/>
          <w:sz w:val="28"/>
          <w:szCs w:val="28"/>
        </w:rPr>
        <w:t>rt</w:t>
      </w:r>
      <w:r w:rsidRPr="00090CDE">
        <w:rPr>
          <w:rFonts w:ascii="TT521o00" w:hAnsi="TT521o00" w:cs="TT521o00"/>
          <w:sz w:val="28"/>
          <w:szCs w:val="28"/>
        </w:rPr>
        <w:t>ē</w:t>
      </w:r>
      <w:r w:rsidRPr="00090CDE">
        <w:rPr>
          <w:rFonts w:cs="Times New Roman"/>
          <w:sz w:val="28"/>
          <w:szCs w:val="28"/>
        </w:rPr>
        <w:t>j</w:t>
      </w:r>
      <w:r w:rsidRPr="00090CDE">
        <w:rPr>
          <w:rFonts w:ascii="TT521o00" w:hAnsi="TT521o00" w:cs="TT521o00"/>
          <w:sz w:val="28"/>
          <w:szCs w:val="28"/>
        </w:rPr>
        <w:t xml:space="preserve">ā </w:t>
      </w:r>
      <w:r w:rsidRPr="00090CDE">
        <w:rPr>
          <w:rFonts w:cs="Times New Roman"/>
          <w:sz w:val="28"/>
          <w:szCs w:val="28"/>
        </w:rPr>
        <w:t>gada 1.febru</w:t>
      </w:r>
      <w:r w:rsidRPr="00090CDE">
        <w:rPr>
          <w:rFonts w:ascii="TT521o00" w:hAnsi="TT521o00" w:cs="TT521o00"/>
          <w:sz w:val="28"/>
          <w:szCs w:val="28"/>
        </w:rPr>
        <w:t>ā</w:t>
      </w:r>
      <w:r w:rsidRPr="00090CDE">
        <w:rPr>
          <w:rFonts w:cs="Times New Roman"/>
          <w:sz w:val="28"/>
          <w:szCs w:val="28"/>
        </w:rPr>
        <w:t>rim iesniedz to inspekcij</w:t>
      </w:r>
      <w:r w:rsidRPr="00090CDE">
        <w:rPr>
          <w:rFonts w:ascii="TT521o00" w:hAnsi="TT521o00" w:cs="TT521o00"/>
          <w:sz w:val="28"/>
          <w:szCs w:val="28"/>
        </w:rPr>
        <w:t>ā</w:t>
      </w:r>
      <w:r w:rsidRPr="00090CDE">
        <w:rPr>
          <w:rFonts w:cs="Times New Roman"/>
          <w:sz w:val="28"/>
          <w:szCs w:val="28"/>
        </w:rPr>
        <w:t>. I</w:t>
      </w:r>
      <w:r w:rsidR="00E8420F" w:rsidRPr="00090CDE">
        <w:rPr>
          <w:rFonts w:cs="Times New Roman"/>
          <w:sz w:val="28"/>
          <w:szCs w:val="28"/>
        </w:rPr>
        <w:t>evērojot minēto, inspekcijā 2016</w:t>
      </w:r>
      <w:r w:rsidRPr="00090CDE">
        <w:rPr>
          <w:rFonts w:cs="Times New Roman"/>
          <w:sz w:val="28"/>
          <w:szCs w:val="28"/>
        </w:rPr>
        <w:t xml:space="preserve">.gada februārī ir saņemti </w:t>
      </w:r>
      <w:r w:rsidR="00E8420F" w:rsidRPr="00090CDE">
        <w:rPr>
          <w:rFonts w:cs="Times New Roman"/>
          <w:sz w:val="28"/>
          <w:szCs w:val="28"/>
        </w:rPr>
        <w:t>142</w:t>
      </w:r>
      <w:r w:rsidRPr="00090CDE">
        <w:rPr>
          <w:sz w:val="28"/>
          <w:szCs w:val="28"/>
        </w:rPr>
        <w:t xml:space="preserve"> Latvijas novadu un republikas pilsētu bāriņtiesu i</w:t>
      </w:r>
      <w:r w:rsidR="00E8420F" w:rsidRPr="00090CDE">
        <w:rPr>
          <w:sz w:val="28"/>
          <w:szCs w:val="28"/>
        </w:rPr>
        <w:t>kgadējie pārskati par darbu 2015</w:t>
      </w:r>
      <w:r w:rsidRPr="00090CDE">
        <w:rPr>
          <w:sz w:val="28"/>
          <w:szCs w:val="28"/>
        </w:rPr>
        <w:t>.gadā.</w:t>
      </w:r>
    </w:p>
    <w:p w:rsidR="00A94EED" w:rsidRPr="00090CDE" w:rsidRDefault="004007C5" w:rsidP="00A94EED">
      <w:pPr>
        <w:autoSpaceDE w:val="0"/>
        <w:autoSpaceDN w:val="0"/>
        <w:adjustRightInd w:val="0"/>
        <w:spacing w:after="0" w:line="240" w:lineRule="auto"/>
        <w:ind w:firstLine="720"/>
        <w:rPr>
          <w:rFonts w:ascii="TT521o00" w:hAnsi="TT521o00" w:cs="TT521o00"/>
          <w:sz w:val="28"/>
          <w:szCs w:val="28"/>
        </w:rPr>
      </w:pPr>
      <w:r w:rsidRPr="00090CDE">
        <w:rPr>
          <w:rFonts w:cs="Times New Roman"/>
          <w:sz w:val="28"/>
          <w:szCs w:val="28"/>
        </w:rPr>
        <w:t xml:space="preserve">Inspekcija ir apkopojusi </w:t>
      </w:r>
      <w:r w:rsidR="00373566" w:rsidRPr="00090CDE">
        <w:rPr>
          <w:rFonts w:cs="Times New Roman"/>
          <w:sz w:val="28"/>
          <w:szCs w:val="28"/>
        </w:rPr>
        <w:t>bāriņtiesu iesūtītos</w:t>
      </w:r>
      <w:r w:rsidRPr="00090CDE">
        <w:rPr>
          <w:rFonts w:cs="Times New Roman"/>
          <w:sz w:val="28"/>
          <w:szCs w:val="28"/>
        </w:rPr>
        <w:t xml:space="preserve"> p</w:t>
      </w:r>
      <w:r w:rsidRPr="00090CDE">
        <w:rPr>
          <w:rFonts w:ascii="TT521o00" w:hAnsi="TT521o00" w:cs="TT521o00"/>
          <w:sz w:val="28"/>
          <w:szCs w:val="28"/>
        </w:rPr>
        <w:t>ā</w:t>
      </w:r>
      <w:r w:rsidRPr="00090CDE">
        <w:rPr>
          <w:rFonts w:cs="Times New Roman"/>
          <w:sz w:val="28"/>
          <w:szCs w:val="28"/>
        </w:rPr>
        <w:t xml:space="preserve">rskatus par bāriņtiesu darbu, </w:t>
      </w:r>
      <w:r w:rsidR="003E6674" w:rsidRPr="00090CDE">
        <w:rPr>
          <w:rFonts w:cs="Times New Roman"/>
          <w:sz w:val="28"/>
          <w:szCs w:val="28"/>
        </w:rPr>
        <w:t>apzinot faktisko situāciju bāriņtiesas kompetencē esošajos jautājumos un faktisko stāvokli bērnu un aizgādnībā esošu personu tiesību aizsardzības jomā valstī kopumā.</w:t>
      </w:r>
      <w:r w:rsidR="00C2795B" w:rsidRPr="00090CDE">
        <w:rPr>
          <w:rFonts w:cs="Times New Roman"/>
          <w:sz w:val="28"/>
          <w:szCs w:val="28"/>
        </w:rPr>
        <w:t xml:space="preserve"> Respektīvi, apkopojot statistikas datus, iegūta informācija par b</w:t>
      </w:r>
      <w:r w:rsidR="00C2795B" w:rsidRPr="00090CDE">
        <w:rPr>
          <w:rFonts w:ascii="TT521o00" w:hAnsi="TT521o00" w:cs="TT521o00"/>
          <w:sz w:val="28"/>
          <w:szCs w:val="28"/>
        </w:rPr>
        <w:t>ū</w:t>
      </w:r>
      <w:r w:rsidR="00C2795B" w:rsidRPr="00090CDE">
        <w:rPr>
          <w:rFonts w:cs="Times New Roman"/>
          <w:sz w:val="28"/>
          <w:szCs w:val="28"/>
        </w:rPr>
        <w:t>tisk</w:t>
      </w:r>
      <w:r w:rsidR="00C2795B" w:rsidRPr="00090CDE">
        <w:rPr>
          <w:rFonts w:ascii="TT521o00" w:hAnsi="TT521o00" w:cs="TT521o00"/>
          <w:sz w:val="28"/>
          <w:szCs w:val="28"/>
        </w:rPr>
        <w:t>ā</w:t>
      </w:r>
      <w:r w:rsidR="00C2795B" w:rsidRPr="00090CDE">
        <w:rPr>
          <w:rFonts w:cs="Times New Roman"/>
          <w:sz w:val="28"/>
          <w:szCs w:val="28"/>
        </w:rPr>
        <w:t>kajām ar bērnu un aizgādnībā esošu personu tiesību un interešu aizsardzību saistītām tendencēm un to att</w:t>
      </w:r>
      <w:r w:rsidR="00C2795B" w:rsidRPr="00090CDE">
        <w:rPr>
          <w:rFonts w:ascii="TT521o00" w:hAnsi="TT521o00" w:cs="TT521o00"/>
          <w:sz w:val="28"/>
          <w:szCs w:val="28"/>
        </w:rPr>
        <w:t>ī</w:t>
      </w:r>
      <w:r w:rsidR="00C2795B" w:rsidRPr="00090CDE">
        <w:rPr>
          <w:rFonts w:cs="Times New Roman"/>
          <w:sz w:val="28"/>
          <w:szCs w:val="28"/>
        </w:rPr>
        <w:t>st</w:t>
      </w:r>
      <w:r w:rsidR="00C2795B" w:rsidRPr="00090CDE">
        <w:rPr>
          <w:rFonts w:ascii="TT521o00" w:hAnsi="TT521o00" w:cs="TT521o00"/>
          <w:sz w:val="28"/>
          <w:szCs w:val="28"/>
        </w:rPr>
        <w:t>ī</w:t>
      </w:r>
      <w:r w:rsidR="00C2795B" w:rsidRPr="00090CDE">
        <w:rPr>
          <w:rFonts w:cs="Times New Roman"/>
          <w:sz w:val="28"/>
          <w:szCs w:val="28"/>
        </w:rPr>
        <w:t>bu t</w:t>
      </w:r>
      <w:r w:rsidR="00C2795B" w:rsidRPr="00090CDE">
        <w:rPr>
          <w:rFonts w:ascii="TT521o00" w:hAnsi="TT521o00" w:cs="TT521o00"/>
          <w:sz w:val="28"/>
          <w:szCs w:val="28"/>
        </w:rPr>
        <w:t>ā</w:t>
      </w:r>
      <w:r w:rsidR="00C2795B" w:rsidRPr="00090CDE">
        <w:rPr>
          <w:rFonts w:cs="Times New Roman"/>
          <w:sz w:val="28"/>
          <w:szCs w:val="28"/>
        </w:rPr>
        <w:t>dos b</w:t>
      </w:r>
      <w:r w:rsidR="00C2795B" w:rsidRPr="00090CDE">
        <w:rPr>
          <w:rFonts w:ascii="TT521o00" w:hAnsi="TT521o00" w:cs="TT521o00"/>
          <w:sz w:val="28"/>
          <w:szCs w:val="28"/>
        </w:rPr>
        <w:t>ā</w:t>
      </w:r>
      <w:r w:rsidR="00C2795B" w:rsidRPr="00090CDE">
        <w:rPr>
          <w:rFonts w:cs="Times New Roman"/>
          <w:sz w:val="28"/>
          <w:szCs w:val="28"/>
        </w:rPr>
        <w:t>ri</w:t>
      </w:r>
      <w:r w:rsidR="00C2795B" w:rsidRPr="00090CDE">
        <w:rPr>
          <w:rFonts w:ascii="TT521o00" w:hAnsi="TT521o00" w:cs="TT521o00"/>
          <w:sz w:val="28"/>
          <w:szCs w:val="28"/>
        </w:rPr>
        <w:t>ņ</w:t>
      </w:r>
      <w:r w:rsidR="00C2795B" w:rsidRPr="00090CDE">
        <w:rPr>
          <w:rFonts w:cs="Times New Roman"/>
          <w:sz w:val="28"/>
          <w:szCs w:val="28"/>
        </w:rPr>
        <w:t>tiesu darb</w:t>
      </w:r>
      <w:r w:rsidR="00C2795B" w:rsidRPr="00090CDE">
        <w:rPr>
          <w:rFonts w:ascii="TT521o00" w:hAnsi="TT521o00" w:cs="TT521o00"/>
          <w:sz w:val="28"/>
          <w:szCs w:val="28"/>
        </w:rPr>
        <w:t>ī</w:t>
      </w:r>
      <w:r w:rsidR="00C2795B" w:rsidRPr="00090CDE">
        <w:rPr>
          <w:rFonts w:cs="Times New Roman"/>
          <w:sz w:val="28"/>
          <w:szCs w:val="28"/>
        </w:rPr>
        <w:t>bas virzienos k</w:t>
      </w:r>
      <w:r w:rsidR="00C2795B" w:rsidRPr="00090CDE">
        <w:rPr>
          <w:rFonts w:ascii="TT521o00" w:hAnsi="TT521o00" w:cs="TT521o00"/>
          <w:sz w:val="28"/>
          <w:szCs w:val="28"/>
        </w:rPr>
        <w:t>ā</w:t>
      </w:r>
      <w:r w:rsidR="00C2795B" w:rsidRPr="00090CDE">
        <w:rPr>
          <w:rFonts w:cs="Times New Roman"/>
          <w:sz w:val="28"/>
          <w:szCs w:val="28"/>
        </w:rPr>
        <w:t xml:space="preserve"> aizgādības tiesību pārtraukšana/atņemšana un atjaunošana vecākiem, b</w:t>
      </w:r>
      <w:r w:rsidR="00C2795B" w:rsidRPr="00090CDE">
        <w:rPr>
          <w:rFonts w:ascii="TT521o00" w:hAnsi="TT521o00" w:cs="TT521o00"/>
          <w:sz w:val="28"/>
          <w:szCs w:val="28"/>
        </w:rPr>
        <w:t>ē</w:t>
      </w:r>
      <w:r w:rsidR="00C2795B" w:rsidRPr="00090CDE">
        <w:rPr>
          <w:rFonts w:cs="Times New Roman"/>
          <w:sz w:val="28"/>
          <w:szCs w:val="28"/>
        </w:rPr>
        <w:t xml:space="preserve">rna </w:t>
      </w:r>
      <w:r w:rsidR="00C2795B" w:rsidRPr="00090CDE">
        <w:rPr>
          <w:rFonts w:ascii="TT521o00" w:hAnsi="TT521o00" w:cs="TT521o00"/>
          <w:sz w:val="28"/>
          <w:szCs w:val="28"/>
        </w:rPr>
        <w:t>ā</w:t>
      </w:r>
      <w:r w:rsidR="00C2795B" w:rsidRPr="00090CDE">
        <w:rPr>
          <w:rFonts w:cs="Times New Roman"/>
          <w:sz w:val="28"/>
          <w:szCs w:val="28"/>
        </w:rPr>
        <w:t>rpus</w:t>
      </w:r>
      <w:r w:rsidR="00C2795B" w:rsidRPr="00090CDE">
        <w:rPr>
          <w:rFonts w:ascii="TT521o00" w:hAnsi="TT521o00" w:cs="TT521o00"/>
          <w:sz w:val="28"/>
          <w:szCs w:val="28"/>
        </w:rPr>
        <w:t>ģ</w:t>
      </w:r>
      <w:r w:rsidR="00C2795B" w:rsidRPr="00090CDE">
        <w:rPr>
          <w:rFonts w:cs="Times New Roman"/>
          <w:sz w:val="28"/>
          <w:szCs w:val="28"/>
        </w:rPr>
        <w:t>imenes apr</w:t>
      </w:r>
      <w:r w:rsidR="00C2795B" w:rsidRPr="00090CDE">
        <w:rPr>
          <w:rFonts w:ascii="TT521o00" w:hAnsi="TT521o00" w:cs="TT521o00"/>
          <w:sz w:val="28"/>
          <w:szCs w:val="28"/>
        </w:rPr>
        <w:t>ū</w:t>
      </w:r>
      <w:r w:rsidR="00C2795B" w:rsidRPr="00090CDE">
        <w:rPr>
          <w:rFonts w:cs="Times New Roman"/>
          <w:sz w:val="28"/>
          <w:szCs w:val="28"/>
        </w:rPr>
        <w:t>pe, aizg</w:t>
      </w:r>
      <w:r w:rsidR="00C2795B" w:rsidRPr="00090CDE">
        <w:rPr>
          <w:rFonts w:ascii="TT521o00" w:hAnsi="TT521o00" w:cs="TT521o00"/>
          <w:sz w:val="28"/>
          <w:szCs w:val="28"/>
        </w:rPr>
        <w:t>ā</w:t>
      </w:r>
      <w:r w:rsidR="00C2795B" w:rsidRPr="00090CDE">
        <w:rPr>
          <w:rFonts w:cs="Times New Roman"/>
          <w:sz w:val="28"/>
          <w:szCs w:val="28"/>
        </w:rPr>
        <w:t>dn</w:t>
      </w:r>
      <w:r w:rsidR="00C2795B" w:rsidRPr="00090CDE">
        <w:rPr>
          <w:rFonts w:ascii="TT521o00" w:hAnsi="TT521o00" w:cs="TT521o00"/>
          <w:sz w:val="28"/>
          <w:szCs w:val="28"/>
        </w:rPr>
        <w:t>ī</w:t>
      </w:r>
      <w:r w:rsidR="00C2795B" w:rsidRPr="00090CDE">
        <w:rPr>
          <w:rFonts w:cs="Times New Roman"/>
          <w:sz w:val="28"/>
          <w:szCs w:val="28"/>
        </w:rPr>
        <w:t>ba, bērna nodošana citas personas aprūpē, k</w:t>
      </w:r>
      <w:r w:rsidR="00C2795B" w:rsidRPr="00090CDE">
        <w:rPr>
          <w:rFonts w:ascii="TT521o00" w:hAnsi="TT521o00" w:cs="TT521o00"/>
          <w:sz w:val="28"/>
          <w:szCs w:val="28"/>
        </w:rPr>
        <w:t xml:space="preserve">ā </w:t>
      </w:r>
      <w:r w:rsidR="00C2795B" w:rsidRPr="00090CDE">
        <w:rPr>
          <w:rFonts w:cs="Times New Roman"/>
          <w:sz w:val="28"/>
          <w:szCs w:val="28"/>
        </w:rPr>
        <w:t>ar</w:t>
      </w:r>
      <w:r w:rsidR="00C2795B" w:rsidRPr="00090CDE">
        <w:rPr>
          <w:rFonts w:ascii="TT521o00" w:hAnsi="TT521o00" w:cs="TT521o00"/>
          <w:sz w:val="28"/>
          <w:szCs w:val="28"/>
        </w:rPr>
        <w:t>ī</w:t>
      </w:r>
      <w:r w:rsidR="00C2795B" w:rsidRPr="00090CDE">
        <w:rPr>
          <w:rFonts w:cs="Times New Roman"/>
          <w:sz w:val="28"/>
          <w:szCs w:val="28"/>
        </w:rPr>
        <w:t xml:space="preserve"> inform</w:t>
      </w:r>
      <w:r w:rsidR="00C2795B" w:rsidRPr="00090CDE">
        <w:rPr>
          <w:rFonts w:ascii="TT521o00" w:hAnsi="TT521o00" w:cs="TT521o00"/>
          <w:sz w:val="28"/>
          <w:szCs w:val="28"/>
        </w:rPr>
        <w:t>ā</w:t>
      </w:r>
      <w:r w:rsidR="00C2795B" w:rsidRPr="00090CDE">
        <w:rPr>
          <w:rFonts w:cs="Times New Roman"/>
          <w:sz w:val="28"/>
          <w:szCs w:val="28"/>
        </w:rPr>
        <w:t>cija par bāriņtiesu l</w:t>
      </w:r>
      <w:r w:rsidR="0075024F" w:rsidRPr="00090CDE">
        <w:rPr>
          <w:rFonts w:cs="Times New Roman"/>
          <w:sz w:val="28"/>
          <w:szCs w:val="28"/>
        </w:rPr>
        <w:t>ēmumiem un to</w:t>
      </w:r>
      <w:r w:rsidR="00C2795B" w:rsidRPr="00090CDE">
        <w:rPr>
          <w:rFonts w:cs="Times New Roman"/>
          <w:sz w:val="28"/>
          <w:szCs w:val="28"/>
        </w:rPr>
        <w:t xml:space="preserve"> pārsūdzību u.c.</w:t>
      </w:r>
    </w:p>
    <w:p w:rsidR="00083CE0" w:rsidRPr="00090CDE" w:rsidRDefault="00055410" w:rsidP="00055410">
      <w:pPr>
        <w:autoSpaceDE w:val="0"/>
        <w:autoSpaceDN w:val="0"/>
        <w:adjustRightInd w:val="0"/>
        <w:spacing w:after="0" w:line="240" w:lineRule="auto"/>
        <w:ind w:firstLine="720"/>
        <w:rPr>
          <w:rFonts w:cs="Times New Roman"/>
          <w:sz w:val="28"/>
          <w:szCs w:val="28"/>
        </w:rPr>
      </w:pPr>
      <w:r w:rsidRPr="00090CDE">
        <w:rPr>
          <w:rFonts w:cs="Times New Roman"/>
          <w:sz w:val="28"/>
          <w:szCs w:val="28"/>
        </w:rPr>
        <w:t>Veicot bāriņtiesu pārskatu par darbu 2015.gadā statistikas rādītāju analīzi, salīdzināta un izvērtēta situācija bāriņtiesu darbības virzienos</w:t>
      </w:r>
      <w:r w:rsidR="00733308" w:rsidRPr="00090CDE">
        <w:rPr>
          <w:rFonts w:cs="Times New Roman"/>
          <w:sz w:val="28"/>
          <w:szCs w:val="28"/>
        </w:rPr>
        <w:t xml:space="preserve"> pārsvarā</w:t>
      </w:r>
      <w:r w:rsidRPr="00090CDE">
        <w:rPr>
          <w:rFonts w:cs="Times New Roman"/>
          <w:sz w:val="28"/>
          <w:szCs w:val="28"/>
        </w:rPr>
        <w:t xml:space="preserve"> pēdējo četru gadu periodā. </w:t>
      </w:r>
    </w:p>
    <w:p w:rsidR="004007C5" w:rsidRPr="00090CDE" w:rsidRDefault="00B365BF" w:rsidP="00D43D93">
      <w:pPr>
        <w:autoSpaceDE w:val="0"/>
        <w:autoSpaceDN w:val="0"/>
        <w:adjustRightInd w:val="0"/>
        <w:spacing w:after="0" w:line="240" w:lineRule="auto"/>
        <w:rPr>
          <w:rFonts w:cs="Times New Roman"/>
          <w:sz w:val="28"/>
          <w:szCs w:val="28"/>
        </w:rPr>
      </w:pPr>
      <w:r w:rsidRPr="00090CDE">
        <w:rPr>
          <w:rFonts w:cs="Times New Roman"/>
          <w:sz w:val="28"/>
          <w:szCs w:val="28"/>
        </w:rPr>
        <w:tab/>
      </w:r>
    </w:p>
    <w:p w:rsidR="004007C5" w:rsidRPr="00090CDE" w:rsidRDefault="004007C5" w:rsidP="00D43D93">
      <w:pPr>
        <w:autoSpaceDE w:val="0"/>
        <w:autoSpaceDN w:val="0"/>
        <w:adjustRightInd w:val="0"/>
        <w:spacing w:after="0" w:line="240" w:lineRule="auto"/>
        <w:rPr>
          <w:rFonts w:cs="Times New Roman"/>
          <w:sz w:val="28"/>
          <w:szCs w:val="28"/>
        </w:rPr>
      </w:pPr>
    </w:p>
    <w:p w:rsidR="004007C5" w:rsidRPr="00090CDE" w:rsidRDefault="004007C5" w:rsidP="00D43D93">
      <w:pPr>
        <w:autoSpaceDE w:val="0"/>
        <w:autoSpaceDN w:val="0"/>
        <w:adjustRightInd w:val="0"/>
        <w:spacing w:after="0" w:line="240" w:lineRule="auto"/>
        <w:rPr>
          <w:rFonts w:cs="Times New Roman"/>
          <w:sz w:val="28"/>
          <w:szCs w:val="28"/>
        </w:rPr>
      </w:pPr>
    </w:p>
    <w:p w:rsidR="002861BF" w:rsidRPr="00090CDE" w:rsidRDefault="002861BF" w:rsidP="003E6AFA">
      <w:pPr>
        <w:pStyle w:val="ListParagraph"/>
        <w:jc w:val="center"/>
        <w:rPr>
          <w:rFonts w:cs="Times New Roman"/>
          <w:b/>
          <w:sz w:val="28"/>
          <w:szCs w:val="28"/>
        </w:rPr>
      </w:pPr>
      <w:r w:rsidRPr="00090CDE">
        <w:rPr>
          <w:rFonts w:cs="Times New Roman"/>
          <w:b/>
          <w:sz w:val="28"/>
          <w:szCs w:val="28"/>
        </w:rPr>
        <w:lastRenderedPageBreak/>
        <w:t>SATURA RĀDĪTĀJS</w:t>
      </w:r>
    </w:p>
    <w:sdt>
      <w:sdtPr>
        <w:rPr>
          <w:rFonts w:ascii="Times New Roman" w:eastAsiaTheme="minorHAnsi" w:hAnsi="Times New Roman" w:cstheme="minorBidi"/>
          <w:b w:val="0"/>
          <w:color w:val="auto"/>
          <w:szCs w:val="22"/>
          <w:lang w:val="lv-LV"/>
        </w:rPr>
        <w:id w:val="-208647441"/>
        <w:docPartObj>
          <w:docPartGallery w:val="Table of Contents"/>
          <w:docPartUnique/>
        </w:docPartObj>
      </w:sdtPr>
      <w:sdtContent>
        <w:p w:rsidR="00A74C1D" w:rsidRPr="00090CDE" w:rsidRDefault="00A74C1D" w:rsidP="00453085">
          <w:pPr>
            <w:pStyle w:val="TOCHeading"/>
            <w:spacing w:before="0" w:line="240" w:lineRule="auto"/>
            <w:rPr>
              <w:color w:val="auto"/>
              <w:lang w:val="lv-LV"/>
            </w:rPr>
          </w:pPr>
        </w:p>
        <w:p w:rsidR="00DC7C5D" w:rsidRPr="00090CDE" w:rsidRDefault="00A74C1D" w:rsidP="00DC7C5D">
          <w:pPr>
            <w:pStyle w:val="TOC1"/>
            <w:rPr>
              <w:rFonts w:asciiTheme="minorHAnsi" w:eastAsiaTheme="minorEastAsia" w:hAnsiTheme="minorHAnsi"/>
              <w:noProof w:val="0"/>
            </w:rPr>
          </w:pPr>
          <w:r w:rsidRPr="00090CDE">
            <w:rPr>
              <w:noProof w:val="0"/>
            </w:rPr>
            <w:fldChar w:fldCharType="begin"/>
          </w:r>
          <w:r w:rsidRPr="00090CDE">
            <w:rPr>
              <w:noProof w:val="0"/>
            </w:rPr>
            <w:instrText xml:space="preserve"> TOC \o "1-3" \h \z \u </w:instrText>
          </w:r>
          <w:r w:rsidRPr="00090CDE">
            <w:rPr>
              <w:noProof w:val="0"/>
            </w:rPr>
            <w:fldChar w:fldCharType="separate"/>
          </w:r>
          <w:hyperlink w:anchor="_Toc455138978" w:history="1">
            <w:r w:rsidR="00DC7C5D" w:rsidRPr="00090CDE">
              <w:rPr>
                <w:rStyle w:val="Hyperlink"/>
                <w:noProof w:val="0"/>
                <w:color w:val="auto"/>
              </w:rPr>
              <w:t>1.Ģimenes, kurās netiek pietiekami nodrošināta bērna attīstība un audzināšana</w:t>
            </w:r>
            <w:r w:rsidR="00DC7C5D" w:rsidRPr="00090CDE">
              <w:rPr>
                <w:noProof w:val="0"/>
                <w:webHidden/>
              </w:rPr>
              <w:tab/>
            </w:r>
            <w:r w:rsidR="00DC7C5D" w:rsidRPr="00090CDE">
              <w:rPr>
                <w:noProof w:val="0"/>
                <w:webHidden/>
              </w:rPr>
              <w:fldChar w:fldCharType="begin"/>
            </w:r>
            <w:r w:rsidR="00DC7C5D" w:rsidRPr="00090CDE">
              <w:rPr>
                <w:noProof w:val="0"/>
                <w:webHidden/>
              </w:rPr>
              <w:instrText xml:space="preserve"> PAGEREF _Toc455138978 \h </w:instrText>
            </w:r>
            <w:r w:rsidR="00DC7C5D" w:rsidRPr="00090CDE">
              <w:rPr>
                <w:noProof w:val="0"/>
                <w:webHidden/>
              </w:rPr>
            </w:r>
            <w:r w:rsidR="00DC7C5D" w:rsidRPr="00090CDE">
              <w:rPr>
                <w:noProof w:val="0"/>
                <w:webHidden/>
              </w:rPr>
              <w:fldChar w:fldCharType="separate"/>
            </w:r>
            <w:r w:rsidR="007D675D" w:rsidRPr="00090CDE">
              <w:rPr>
                <w:noProof w:val="0"/>
                <w:webHidden/>
              </w:rPr>
              <w:t>3</w:t>
            </w:r>
            <w:r w:rsidR="00DC7C5D" w:rsidRPr="00090CDE">
              <w:rPr>
                <w:noProof w:val="0"/>
                <w:webHidden/>
              </w:rPr>
              <w:fldChar w:fldCharType="end"/>
            </w:r>
          </w:hyperlink>
        </w:p>
        <w:p w:rsidR="00DC7C5D" w:rsidRPr="00090CDE" w:rsidRDefault="006A0312" w:rsidP="00DC7C5D">
          <w:pPr>
            <w:pStyle w:val="TOC1"/>
            <w:rPr>
              <w:rFonts w:asciiTheme="minorHAnsi" w:eastAsiaTheme="minorEastAsia" w:hAnsiTheme="minorHAnsi"/>
              <w:noProof w:val="0"/>
            </w:rPr>
          </w:pPr>
          <w:hyperlink w:anchor="_Toc455138979" w:history="1">
            <w:r w:rsidR="00DC7C5D" w:rsidRPr="00090CDE">
              <w:rPr>
                <w:rStyle w:val="Hyperlink"/>
                <w:noProof w:val="0"/>
                <w:color w:val="auto"/>
              </w:rPr>
              <w:t>2.Pārskats par bērna šķiršanu no ģimenes un atgriešanu ģimenē</w:t>
            </w:r>
            <w:r w:rsidR="00DC7C5D" w:rsidRPr="00090CDE">
              <w:rPr>
                <w:noProof w:val="0"/>
                <w:webHidden/>
              </w:rPr>
              <w:tab/>
            </w:r>
            <w:r w:rsidR="00DC7C5D" w:rsidRPr="00090CDE">
              <w:rPr>
                <w:noProof w:val="0"/>
                <w:webHidden/>
              </w:rPr>
              <w:fldChar w:fldCharType="begin"/>
            </w:r>
            <w:r w:rsidR="00DC7C5D" w:rsidRPr="00090CDE">
              <w:rPr>
                <w:noProof w:val="0"/>
                <w:webHidden/>
              </w:rPr>
              <w:instrText xml:space="preserve"> PAGEREF _Toc455138979 \h </w:instrText>
            </w:r>
            <w:r w:rsidR="00DC7C5D" w:rsidRPr="00090CDE">
              <w:rPr>
                <w:noProof w:val="0"/>
                <w:webHidden/>
              </w:rPr>
            </w:r>
            <w:r w:rsidR="00DC7C5D" w:rsidRPr="00090CDE">
              <w:rPr>
                <w:noProof w:val="0"/>
                <w:webHidden/>
              </w:rPr>
              <w:fldChar w:fldCharType="separate"/>
            </w:r>
            <w:r w:rsidR="007D675D" w:rsidRPr="00090CDE">
              <w:rPr>
                <w:noProof w:val="0"/>
                <w:webHidden/>
              </w:rPr>
              <w:t>4</w:t>
            </w:r>
            <w:r w:rsidR="00DC7C5D" w:rsidRPr="00090CDE">
              <w:rPr>
                <w:noProof w:val="0"/>
                <w:webHidden/>
              </w:rPr>
              <w:fldChar w:fldCharType="end"/>
            </w:r>
          </w:hyperlink>
        </w:p>
        <w:p w:rsidR="00DC7C5D" w:rsidRPr="00090CDE" w:rsidRDefault="006A0312" w:rsidP="00DC7C5D">
          <w:pPr>
            <w:pStyle w:val="TOC2"/>
            <w:rPr>
              <w:rFonts w:asciiTheme="minorHAnsi" w:eastAsiaTheme="minorEastAsia" w:hAnsiTheme="minorHAnsi"/>
              <w:noProof w:val="0"/>
              <w:lang w:eastAsia="lv-LV"/>
            </w:rPr>
          </w:pPr>
          <w:hyperlink w:anchor="_Toc455138980" w:history="1">
            <w:r w:rsidR="00DC7C5D" w:rsidRPr="00090CDE">
              <w:rPr>
                <w:rStyle w:val="Hyperlink"/>
                <w:noProof w:val="0"/>
                <w:color w:val="auto"/>
              </w:rPr>
              <w:t>2.1.Bērna aizgādības tiesību pārtraukšana.</w:t>
            </w:r>
            <w:r w:rsidR="00DC7C5D" w:rsidRPr="00090CDE">
              <w:rPr>
                <w:noProof w:val="0"/>
                <w:webHidden/>
              </w:rPr>
              <w:tab/>
            </w:r>
            <w:r w:rsidR="00DC7C5D" w:rsidRPr="00090CDE">
              <w:rPr>
                <w:noProof w:val="0"/>
                <w:webHidden/>
              </w:rPr>
              <w:fldChar w:fldCharType="begin"/>
            </w:r>
            <w:r w:rsidR="00DC7C5D" w:rsidRPr="00090CDE">
              <w:rPr>
                <w:noProof w:val="0"/>
                <w:webHidden/>
              </w:rPr>
              <w:instrText xml:space="preserve"> PAGEREF _Toc455138980 \h </w:instrText>
            </w:r>
            <w:r w:rsidR="00DC7C5D" w:rsidRPr="00090CDE">
              <w:rPr>
                <w:noProof w:val="0"/>
                <w:webHidden/>
              </w:rPr>
            </w:r>
            <w:r w:rsidR="00DC7C5D" w:rsidRPr="00090CDE">
              <w:rPr>
                <w:noProof w:val="0"/>
                <w:webHidden/>
              </w:rPr>
              <w:fldChar w:fldCharType="separate"/>
            </w:r>
            <w:r w:rsidR="007D675D" w:rsidRPr="00090CDE">
              <w:rPr>
                <w:noProof w:val="0"/>
                <w:webHidden/>
              </w:rPr>
              <w:t>4</w:t>
            </w:r>
            <w:r w:rsidR="00DC7C5D" w:rsidRPr="00090CDE">
              <w:rPr>
                <w:noProof w:val="0"/>
                <w:webHidden/>
              </w:rPr>
              <w:fldChar w:fldCharType="end"/>
            </w:r>
          </w:hyperlink>
        </w:p>
        <w:p w:rsidR="00DC7C5D" w:rsidRPr="00090CDE" w:rsidRDefault="006A0312" w:rsidP="00DC7C5D">
          <w:pPr>
            <w:pStyle w:val="TOC3"/>
            <w:rPr>
              <w:rFonts w:asciiTheme="minorHAnsi" w:eastAsiaTheme="minorEastAsia" w:hAnsiTheme="minorHAnsi"/>
              <w:b w:val="0"/>
              <w:noProof w:val="0"/>
            </w:rPr>
          </w:pPr>
          <w:hyperlink w:anchor="_Toc455138981" w:history="1">
            <w:r w:rsidR="00DC7C5D" w:rsidRPr="00090CDE">
              <w:rPr>
                <w:rStyle w:val="Hyperlink"/>
                <w:b w:val="0"/>
                <w:noProof w:val="0"/>
                <w:color w:val="auto"/>
              </w:rPr>
              <w:t>2.1.1.Aizgādības tiesību pārtraukšana konstatētās vardarbības dēļ vai, pastāvot aizdomām par vardarbību pret bērnu</w:t>
            </w:r>
            <w:r w:rsidR="00DC7C5D" w:rsidRPr="00090CDE">
              <w:rPr>
                <w:b w:val="0"/>
                <w:noProof w:val="0"/>
                <w:webHidden/>
              </w:rPr>
              <w:tab/>
            </w:r>
            <w:r w:rsidR="00DC7C5D" w:rsidRPr="00090CDE">
              <w:rPr>
                <w:b w:val="0"/>
                <w:noProof w:val="0"/>
                <w:webHidden/>
              </w:rPr>
              <w:fldChar w:fldCharType="begin"/>
            </w:r>
            <w:r w:rsidR="00DC7C5D" w:rsidRPr="00090CDE">
              <w:rPr>
                <w:b w:val="0"/>
                <w:noProof w:val="0"/>
                <w:webHidden/>
              </w:rPr>
              <w:instrText xml:space="preserve"> PAGEREF _Toc455138981 \h </w:instrText>
            </w:r>
            <w:r w:rsidR="00DC7C5D" w:rsidRPr="00090CDE">
              <w:rPr>
                <w:b w:val="0"/>
                <w:noProof w:val="0"/>
                <w:webHidden/>
              </w:rPr>
            </w:r>
            <w:r w:rsidR="00DC7C5D" w:rsidRPr="00090CDE">
              <w:rPr>
                <w:b w:val="0"/>
                <w:noProof w:val="0"/>
                <w:webHidden/>
              </w:rPr>
              <w:fldChar w:fldCharType="separate"/>
            </w:r>
            <w:r w:rsidR="007D675D" w:rsidRPr="00090CDE">
              <w:rPr>
                <w:b w:val="0"/>
                <w:noProof w:val="0"/>
                <w:webHidden/>
              </w:rPr>
              <w:t>8</w:t>
            </w:r>
            <w:r w:rsidR="00DC7C5D" w:rsidRPr="00090CDE">
              <w:rPr>
                <w:b w:val="0"/>
                <w:noProof w:val="0"/>
                <w:webHidden/>
              </w:rPr>
              <w:fldChar w:fldCharType="end"/>
            </w:r>
          </w:hyperlink>
        </w:p>
        <w:p w:rsidR="00DC7C5D" w:rsidRPr="00090CDE" w:rsidRDefault="006A0312" w:rsidP="00DC7C5D">
          <w:pPr>
            <w:pStyle w:val="TOC3"/>
            <w:rPr>
              <w:rFonts w:asciiTheme="minorHAnsi" w:eastAsiaTheme="minorEastAsia" w:hAnsiTheme="minorHAnsi"/>
              <w:b w:val="0"/>
              <w:noProof w:val="0"/>
              <w:sz w:val="22"/>
            </w:rPr>
          </w:pPr>
          <w:hyperlink w:anchor="_Toc455138982" w:history="1">
            <w:r w:rsidR="00DC7C5D" w:rsidRPr="00090CDE">
              <w:rPr>
                <w:rStyle w:val="Hyperlink"/>
                <w:b w:val="0"/>
                <w:noProof w:val="0"/>
                <w:color w:val="auto"/>
              </w:rPr>
              <w:t>2.1.2.Aizgādības tiesību pārtraukšana, pieņemot vienpersonisku lēmumu.</w:t>
            </w:r>
            <w:r w:rsidR="00DC7C5D" w:rsidRPr="00090CDE">
              <w:rPr>
                <w:b w:val="0"/>
                <w:noProof w:val="0"/>
                <w:webHidden/>
              </w:rPr>
              <w:tab/>
            </w:r>
            <w:r w:rsidR="00DC7C5D" w:rsidRPr="00090CDE">
              <w:rPr>
                <w:b w:val="0"/>
                <w:noProof w:val="0"/>
                <w:webHidden/>
              </w:rPr>
              <w:fldChar w:fldCharType="begin"/>
            </w:r>
            <w:r w:rsidR="00DC7C5D" w:rsidRPr="00090CDE">
              <w:rPr>
                <w:b w:val="0"/>
                <w:noProof w:val="0"/>
                <w:webHidden/>
              </w:rPr>
              <w:instrText xml:space="preserve"> PAGEREF _Toc455138982 \h </w:instrText>
            </w:r>
            <w:r w:rsidR="00DC7C5D" w:rsidRPr="00090CDE">
              <w:rPr>
                <w:b w:val="0"/>
                <w:noProof w:val="0"/>
                <w:webHidden/>
              </w:rPr>
            </w:r>
            <w:r w:rsidR="00DC7C5D" w:rsidRPr="00090CDE">
              <w:rPr>
                <w:b w:val="0"/>
                <w:noProof w:val="0"/>
                <w:webHidden/>
              </w:rPr>
              <w:fldChar w:fldCharType="separate"/>
            </w:r>
            <w:r w:rsidR="007D675D" w:rsidRPr="00090CDE">
              <w:rPr>
                <w:b w:val="0"/>
                <w:noProof w:val="0"/>
                <w:webHidden/>
              </w:rPr>
              <w:t>11</w:t>
            </w:r>
            <w:r w:rsidR="00DC7C5D" w:rsidRPr="00090CDE">
              <w:rPr>
                <w:b w:val="0"/>
                <w:noProof w:val="0"/>
                <w:webHidden/>
              </w:rPr>
              <w:fldChar w:fldCharType="end"/>
            </w:r>
          </w:hyperlink>
        </w:p>
        <w:p w:rsidR="00DC7C5D" w:rsidRPr="00090CDE" w:rsidRDefault="006A0312" w:rsidP="00DC7C5D">
          <w:pPr>
            <w:pStyle w:val="TOC2"/>
            <w:rPr>
              <w:rFonts w:asciiTheme="minorHAnsi" w:eastAsiaTheme="minorEastAsia" w:hAnsiTheme="minorHAnsi"/>
              <w:noProof w:val="0"/>
              <w:lang w:eastAsia="lv-LV"/>
            </w:rPr>
          </w:pPr>
          <w:hyperlink w:anchor="_Toc455138983" w:history="1">
            <w:r w:rsidR="00DC7C5D" w:rsidRPr="00090CDE">
              <w:rPr>
                <w:rStyle w:val="Hyperlink"/>
                <w:noProof w:val="0"/>
                <w:color w:val="auto"/>
              </w:rPr>
              <w:t>2.2.Bērna pārtraukto aizgādības tiesību atjaunošana</w:t>
            </w:r>
            <w:r w:rsidR="00DC7C5D" w:rsidRPr="00090CDE">
              <w:rPr>
                <w:noProof w:val="0"/>
                <w:webHidden/>
              </w:rPr>
              <w:tab/>
            </w:r>
            <w:r w:rsidR="00DC7C5D" w:rsidRPr="00090CDE">
              <w:rPr>
                <w:noProof w:val="0"/>
                <w:webHidden/>
              </w:rPr>
              <w:fldChar w:fldCharType="begin"/>
            </w:r>
            <w:r w:rsidR="00DC7C5D" w:rsidRPr="00090CDE">
              <w:rPr>
                <w:noProof w:val="0"/>
                <w:webHidden/>
              </w:rPr>
              <w:instrText xml:space="preserve"> PAGEREF _Toc455138983 \h </w:instrText>
            </w:r>
            <w:r w:rsidR="00DC7C5D" w:rsidRPr="00090CDE">
              <w:rPr>
                <w:noProof w:val="0"/>
                <w:webHidden/>
              </w:rPr>
            </w:r>
            <w:r w:rsidR="00DC7C5D" w:rsidRPr="00090CDE">
              <w:rPr>
                <w:noProof w:val="0"/>
                <w:webHidden/>
              </w:rPr>
              <w:fldChar w:fldCharType="separate"/>
            </w:r>
            <w:r w:rsidR="007D675D" w:rsidRPr="00090CDE">
              <w:rPr>
                <w:noProof w:val="0"/>
                <w:webHidden/>
              </w:rPr>
              <w:t>13</w:t>
            </w:r>
            <w:r w:rsidR="00DC7C5D" w:rsidRPr="00090CDE">
              <w:rPr>
                <w:noProof w:val="0"/>
                <w:webHidden/>
              </w:rPr>
              <w:fldChar w:fldCharType="end"/>
            </w:r>
          </w:hyperlink>
        </w:p>
        <w:p w:rsidR="00DC7C5D" w:rsidRPr="00090CDE" w:rsidRDefault="006A0312" w:rsidP="00DC7C5D">
          <w:pPr>
            <w:pStyle w:val="TOC2"/>
            <w:rPr>
              <w:rFonts w:asciiTheme="minorHAnsi" w:eastAsiaTheme="minorEastAsia" w:hAnsiTheme="minorHAnsi"/>
              <w:noProof w:val="0"/>
              <w:lang w:eastAsia="lv-LV"/>
            </w:rPr>
          </w:pPr>
          <w:hyperlink w:anchor="_Toc455138984" w:history="1">
            <w:r w:rsidR="00DC7C5D" w:rsidRPr="00090CDE">
              <w:rPr>
                <w:rStyle w:val="Hyperlink"/>
                <w:noProof w:val="0"/>
                <w:color w:val="auto"/>
              </w:rPr>
              <w:t>2.3.Aizgādības tiesību atņemšana vecākam ar tiesas spriedumu</w:t>
            </w:r>
            <w:r w:rsidR="00DC7C5D" w:rsidRPr="00090CDE">
              <w:rPr>
                <w:noProof w:val="0"/>
                <w:webHidden/>
              </w:rPr>
              <w:tab/>
            </w:r>
            <w:r w:rsidR="00DC7C5D" w:rsidRPr="00090CDE">
              <w:rPr>
                <w:noProof w:val="0"/>
                <w:webHidden/>
              </w:rPr>
              <w:fldChar w:fldCharType="begin"/>
            </w:r>
            <w:r w:rsidR="00DC7C5D" w:rsidRPr="00090CDE">
              <w:rPr>
                <w:noProof w:val="0"/>
                <w:webHidden/>
              </w:rPr>
              <w:instrText xml:space="preserve"> PAGEREF _Toc455138984 \h </w:instrText>
            </w:r>
            <w:r w:rsidR="00DC7C5D" w:rsidRPr="00090CDE">
              <w:rPr>
                <w:noProof w:val="0"/>
                <w:webHidden/>
              </w:rPr>
            </w:r>
            <w:r w:rsidR="00DC7C5D" w:rsidRPr="00090CDE">
              <w:rPr>
                <w:noProof w:val="0"/>
                <w:webHidden/>
              </w:rPr>
              <w:fldChar w:fldCharType="separate"/>
            </w:r>
            <w:r w:rsidR="007D675D" w:rsidRPr="00090CDE">
              <w:rPr>
                <w:noProof w:val="0"/>
                <w:webHidden/>
              </w:rPr>
              <w:t>15</w:t>
            </w:r>
            <w:r w:rsidR="00DC7C5D" w:rsidRPr="00090CDE">
              <w:rPr>
                <w:noProof w:val="0"/>
                <w:webHidden/>
              </w:rPr>
              <w:fldChar w:fldCharType="end"/>
            </w:r>
          </w:hyperlink>
        </w:p>
        <w:p w:rsidR="00DC7C5D" w:rsidRPr="00090CDE" w:rsidRDefault="006A0312" w:rsidP="00DC7C5D">
          <w:pPr>
            <w:pStyle w:val="TOC2"/>
            <w:rPr>
              <w:rFonts w:asciiTheme="minorHAnsi" w:eastAsiaTheme="minorEastAsia" w:hAnsiTheme="minorHAnsi"/>
              <w:noProof w:val="0"/>
              <w:lang w:eastAsia="lv-LV"/>
            </w:rPr>
          </w:pPr>
          <w:hyperlink w:anchor="_Toc455138985" w:history="1">
            <w:r w:rsidR="00DC7C5D" w:rsidRPr="00090CDE">
              <w:rPr>
                <w:rStyle w:val="Hyperlink"/>
                <w:noProof w:val="0"/>
                <w:color w:val="auto"/>
              </w:rPr>
              <w:t>2.4.Aizgādības tiesību atjaunošana vecākam ar tiesas spriedumu</w:t>
            </w:r>
            <w:r w:rsidR="00DC7C5D" w:rsidRPr="00090CDE">
              <w:rPr>
                <w:noProof w:val="0"/>
                <w:webHidden/>
              </w:rPr>
              <w:tab/>
            </w:r>
            <w:r w:rsidR="00DC7C5D" w:rsidRPr="00090CDE">
              <w:rPr>
                <w:noProof w:val="0"/>
                <w:webHidden/>
              </w:rPr>
              <w:fldChar w:fldCharType="begin"/>
            </w:r>
            <w:r w:rsidR="00DC7C5D" w:rsidRPr="00090CDE">
              <w:rPr>
                <w:noProof w:val="0"/>
                <w:webHidden/>
              </w:rPr>
              <w:instrText xml:space="preserve"> PAGEREF _Toc455138985 \h </w:instrText>
            </w:r>
            <w:r w:rsidR="00DC7C5D" w:rsidRPr="00090CDE">
              <w:rPr>
                <w:noProof w:val="0"/>
                <w:webHidden/>
              </w:rPr>
            </w:r>
            <w:r w:rsidR="00DC7C5D" w:rsidRPr="00090CDE">
              <w:rPr>
                <w:noProof w:val="0"/>
                <w:webHidden/>
              </w:rPr>
              <w:fldChar w:fldCharType="separate"/>
            </w:r>
            <w:r w:rsidR="007D675D" w:rsidRPr="00090CDE">
              <w:rPr>
                <w:noProof w:val="0"/>
                <w:webHidden/>
              </w:rPr>
              <w:t>17</w:t>
            </w:r>
            <w:r w:rsidR="00DC7C5D" w:rsidRPr="00090CDE">
              <w:rPr>
                <w:noProof w:val="0"/>
                <w:webHidden/>
              </w:rPr>
              <w:fldChar w:fldCharType="end"/>
            </w:r>
          </w:hyperlink>
        </w:p>
        <w:p w:rsidR="00DC7C5D" w:rsidRPr="00090CDE" w:rsidRDefault="006A0312" w:rsidP="00DC7C5D">
          <w:pPr>
            <w:pStyle w:val="TOC1"/>
            <w:rPr>
              <w:rFonts w:asciiTheme="minorHAnsi" w:eastAsiaTheme="minorEastAsia" w:hAnsiTheme="minorHAnsi"/>
              <w:noProof w:val="0"/>
            </w:rPr>
          </w:pPr>
          <w:hyperlink w:anchor="_Toc455138986" w:history="1">
            <w:r w:rsidR="00DC7C5D" w:rsidRPr="00090CDE">
              <w:rPr>
                <w:rStyle w:val="Hyperlink"/>
                <w:noProof w:val="0"/>
                <w:color w:val="auto"/>
              </w:rPr>
              <w:t>3.Pārskats par bērnu ārpusģimenes aprūpi</w:t>
            </w:r>
            <w:r w:rsidR="00DC7C5D" w:rsidRPr="00090CDE">
              <w:rPr>
                <w:noProof w:val="0"/>
                <w:webHidden/>
              </w:rPr>
              <w:tab/>
            </w:r>
            <w:r w:rsidR="00DC7C5D" w:rsidRPr="00090CDE">
              <w:rPr>
                <w:noProof w:val="0"/>
                <w:webHidden/>
              </w:rPr>
              <w:fldChar w:fldCharType="begin"/>
            </w:r>
            <w:r w:rsidR="00DC7C5D" w:rsidRPr="00090CDE">
              <w:rPr>
                <w:noProof w:val="0"/>
                <w:webHidden/>
              </w:rPr>
              <w:instrText xml:space="preserve"> PAGEREF _Toc455138986 \h </w:instrText>
            </w:r>
            <w:r w:rsidR="00DC7C5D" w:rsidRPr="00090CDE">
              <w:rPr>
                <w:noProof w:val="0"/>
                <w:webHidden/>
              </w:rPr>
            </w:r>
            <w:r w:rsidR="00DC7C5D" w:rsidRPr="00090CDE">
              <w:rPr>
                <w:noProof w:val="0"/>
                <w:webHidden/>
              </w:rPr>
              <w:fldChar w:fldCharType="separate"/>
            </w:r>
            <w:r w:rsidR="007D675D" w:rsidRPr="00090CDE">
              <w:rPr>
                <w:noProof w:val="0"/>
                <w:webHidden/>
              </w:rPr>
              <w:t>19</w:t>
            </w:r>
            <w:r w:rsidR="00DC7C5D" w:rsidRPr="00090CDE">
              <w:rPr>
                <w:noProof w:val="0"/>
                <w:webHidden/>
              </w:rPr>
              <w:fldChar w:fldCharType="end"/>
            </w:r>
          </w:hyperlink>
        </w:p>
        <w:p w:rsidR="00DC7C5D" w:rsidRPr="00090CDE" w:rsidRDefault="006A0312" w:rsidP="00DC7C5D">
          <w:pPr>
            <w:pStyle w:val="TOC2"/>
            <w:rPr>
              <w:rFonts w:asciiTheme="minorHAnsi" w:eastAsiaTheme="minorEastAsia" w:hAnsiTheme="minorHAnsi"/>
              <w:noProof w:val="0"/>
              <w:lang w:eastAsia="lv-LV"/>
            </w:rPr>
          </w:pPr>
          <w:hyperlink w:anchor="_Toc455138987" w:history="1">
            <w:r w:rsidR="00DC7C5D" w:rsidRPr="00090CDE">
              <w:rPr>
                <w:rStyle w:val="Hyperlink"/>
                <w:noProof w:val="0"/>
                <w:color w:val="auto"/>
              </w:rPr>
              <w:t>3.1.Ārpusģimenes aprūpē esošo bērnu skaits</w:t>
            </w:r>
            <w:r w:rsidR="00DC7C5D" w:rsidRPr="00090CDE">
              <w:rPr>
                <w:noProof w:val="0"/>
                <w:webHidden/>
              </w:rPr>
              <w:tab/>
            </w:r>
            <w:r w:rsidR="00DC7C5D" w:rsidRPr="00090CDE">
              <w:rPr>
                <w:noProof w:val="0"/>
                <w:webHidden/>
              </w:rPr>
              <w:fldChar w:fldCharType="begin"/>
            </w:r>
            <w:r w:rsidR="00DC7C5D" w:rsidRPr="00090CDE">
              <w:rPr>
                <w:noProof w:val="0"/>
                <w:webHidden/>
              </w:rPr>
              <w:instrText xml:space="preserve"> PAGEREF _Toc455138987 \h </w:instrText>
            </w:r>
            <w:r w:rsidR="00DC7C5D" w:rsidRPr="00090CDE">
              <w:rPr>
                <w:noProof w:val="0"/>
                <w:webHidden/>
              </w:rPr>
            </w:r>
            <w:r w:rsidR="00DC7C5D" w:rsidRPr="00090CDE">
              <w:rPr>
                <w:noProof w:val="0"/>
                <w:webHidden/>
              </w:rPr>
              <w:fldChar w:fldCharType="separate"/>
            </w:r>
            <w:r w:rsidR="007D675D" w:rsidRPr="00090CDE">
              <w:rPr>
                <w:noProof w:val="0"/>
                <w:webHidden/>
              </w:rPr>
              <w:t>19</w:t>
            </w:r>
            <w:r w:rsidR="00DC7C5D" w:rsidRPr="00090CDE">
              <w:rPr>
                <w:noProof w:val="0"/>
                <w:webHidden/>
              </w:rPr>
              <w:fldChar w:fldCharType="end"/>
            </w:r>
          </w:hyperlink>
        </w:p>
        <w:p w:rsidR="00DC7C5D" w:rsidRPr="00090CDE" w:rsidRDefault="006A0312" w:rsidP="00DC7C5D">
          <w:pPr>
            <w:pStyle w:val="TOC2"/>
            <w:rPr>
              <w:rFonts w:asciiTheme="minorHAnsi" w:eastAsiaTheme="minorEastAsia" w:hAnsiTheme="minorHAnsi"/>
              <w:noProof w:val="0"/>
              <w:lang w:eastAsia="lv-LV"/>
            </w:rPr>
          </w:pPr>
          <w:hyperlink w:anchor="_Toc455138988" w:history="1">
            <w:r w:rsidR="00DC7C5D" w:rsidRPr="00090CDE">
              <w:rPr>
                <w:rStyle w:val="Hyperlink"/>
                <w:noProof w:val="0"/>
                <w:color w:val="auto"/>
              </w:rPr>
              <w:t>3.2.Adoptējamo bērnu skaits, kuri atrodas ārpusģimenes aprūpē</w:t>
            </w:r>
            <w:r w:rsidR="00DC7C5D" w:rsidRPr="00090CDE">
              <w:rPr>
                <w:noProof w:val="0"/>
                <w:webHidden/>
              </w:rPr>
              <w:tab/>
            </w:r>
            <w:r w:rsidR="00DC7C5D" w:rsidRPr="00090CDE">
              <w:rPr>
                <w:noProof w:val="0"/>
                <w:webHidden/>
              </w:rPr>
              <w:fldChar w:fldCharType="begin"/>
            </w:r>
            <w:r w:rsidR="00DC7C5D" w:rsidRPr="00090CDE">
              <w:rPr>
                <w:noProof w:val="0"/>
                <w:webHidden/>
              </w:rPr>
              <w:instrText xml:space="preserve"> PAGEREF _Toc455138988 \h </w:instrText>
            </w:r>
            <w:r w:rsidR="00DC7C5D" w:rsidRPr="00090CDE">
              <w:rPr>
                <w:noProof w:val="0"/>
                <w:webHidden/>
              </w:rPr>
            </w:r>
            <w:r w:rsidR="00DC7C5D" w:rsidRPr="00090CDE">
              <w:rPr>
                <w:noProof w:val="0"/>
                <w:webHidden/>
              </w:rPr>
              <w:fldChar w:fldCharType="separate"/>
            </w:r>
            <w:r w:rsidR="007D675D" w:rsidRPr="00090CDE">
              <w:rPr>
                <w:noProof w:val="0"/>
                <w:webHidden/>
              </w:rPr>
              <w:t>23</w:t>
            </w:r>
            <w:r w:rsidR="00DC7C5D" w:rsidRPr="00090CDE">
              <w:rPr>
                <w:noProof w:val="0"/>
                <w:webHidden/>
              </w:rPr>
              <w:fldChar w:fldCharType="end"/>
            </w:r>
          </w:hyperlink>
        </w:p>
        <w:p w:rsidR="00DC7C5D" w:rsidRPr="00090CDE" w:rsidRDefault="006A0312" w:rsidP="00DC7C5D">
          <w:pPr>
            <w:pStyle w:val="TOC2"/>
            <w:rPr>
              <w:rFonts w:asciiTheme="minorHAnsi" w:eastAsiaTheme="minorEastAsia" w:hAnsiTheme="minorHAnsi"/>
              <w:noProof w:val="0"/>
              <w:lang w:eastAsia="lv-LV"/>
            </w:rPr>
          </w:pPr>
          <w:hyperlink w:anchor="_Toc455138989" w:history="1">
            <w:r w:rsidR="00DC7C5D" w:rsidRPr="00090CDE">
              <w:rPr>
                <w:rStyle w:val="Hyperlink"/>
                <w:noProof w:val="0"/>
                <w:color w:val="auto"/>
              </w:rPr>
              <w:t>3.3.Ārpusģimenes aprūpe pārskata gadā</w:t>
            </w:r>
            <w:r w:rsidR="00DC7C5D" w:rsidRPr="00090CDE">
              <w:rPr>
                <w:noProof w:val="0"/>
                <w:webHidden/>
              </w:rPr>
              <w:tab/>
            </w:r>
            <w:r w:rsidR="00DC7C5D" w:rsidRPr="00090CDE">
              <w:rPr>
                <w:noProof w:val="0"/>
                <w:webHidden/>
              </w:rPr>
              <w:fldChar w:fldCharType="begin"/>
            </w:r>
            <w:r w:rsidR="00DC7C5D" w:rsidRPr="00090CDE">
              <w:rPr>
                <w:noProof w:val="0"/>
                <w:webHidden/>
              </w:rPr>
              <w:instrText xml:space="preserve"> PAGEREF _Toc455138989 \h </w:instrText>
            </w:r>
            <w:r w:rsidR="00DC7C5D" w:rsidRPr="00090CDE">
              <w:rPr>
                <w:noProof w:val="0"/>
                <w:webHidden/>
              </w:rPr>
            </w:r>
            <w:r w:rsidR="00DC7C5D" w:rsidRPr="00090CDE">
              <w:rPr>
                <w:noProof w:val="0"/>
                <w:webHidden/>
              </w:rPr>
              <w:fldChar w:fldCharType="separate"/>
            </w:r>
            <w:r w:rsidR="007D675D" w:rsidRPr="00090CDE">
              <w:rPr>
                <w:noProof w:val="0"/>
                <w:webHidden/>
              </w:rPr>
              <w:t>25</w:t>
            </w:r>
            <w:r w:rsidR="00DC7C5D" w:rsidRPr="00090CDE">
              <w:rPr>
                <w:noProof w:val="0"/>
                <w:webHidden/>
              </w:rPr>
              <w:fldChar w:fldCharType="end"/>
            </w:r>
          </w:hyperlink>
        </w:p>
        <w:p w:rsidR="00DC7C5D" w:rsidRPr="00090CDE" w:rsidRDefault="006A0312" w:rsidP="00DC7C5D">
          <w:pPr>
            <w:pStyle w:val="TOC2"/>
            <w:rPr>
              <w:rFonts w:asciiTheme="minorHAnsi" w:eastAsiaTheme="minorEastAsia" w:hAnsiTheme="minorHAnsi"/>
              <w:noProof w:val="0"/>
              <w:lang w:eastAsia="lv-LV"/>
            </w:rPr>
          </w:pPr>
          <w:hyperlink w:anchor="_Toc455138990" w:history="1">
            <w:r w:rsidR="00DC7C5D" w:rsidRPr="00090CDE">
              <w:rPr>
                <w:rStyle w:val="Hyperlink"/>
                <w:noProof w:val="0"/>
                <w:color w:val="auto"/>
              </w:rPr>
              <w:t>3.4.</w:t>
            </w:r>
            <w:r w:rsidR="00DC7C5D" w:rsidRPr="00090CDE">
              <w:rPr>
                <w:rStyle w:val="Hyperlink"/>
                <w:rFonts w:eastAsia="Times New Roman"/>
                <w:noProof w:val="0"/>
                <w:color w:val="auto"/>
                <w:lang w:eastAsia="lv-LV"/>
              </w:rPr>
              <w:t xml:space="preserve"> Ārpusģimenes aprūpē esoša bērna saskarsme ar vecākiem un citām personām pārskata gadā</w:t>
            </w:r>
            <w:r w:rsidR="00DC7C5D" w:rsidRPr="00090CDE">
              <w:rPr>
                <w:noProof w:val="0"/>
                <w:webHidden/>
              </w:rPr>
              <w:tab/>
            </w:r>
            <w:r w:rsidR="00DC7C5D" w:rsidRPr="00090CDE">
              <w:rPr>
                <w:noProof w:val="0"/>
                <w:webHidden/>
              </w:rPr>
              <w:fldChar w:fldCharType="begin"/>
            </w:r>
            <w:r w:rsidR="00DC7C5D" w:rsidRPr="00090CDE">
              <w:rPr>
                <w:noProof w:val="0"/>
                <w:webHidden/>
              </w:rPr>
              <w:instrText xml:space="preserve"> PAGEREF _Toc455138990 \h </w:instrText>
            </w:r>
            <w:r w:rsidR="00DC7C5D" w:rsidRPr="00090CDE">
              <w:rPr>
                <w:noProof w:val="0"/>
                <w:webHidden/>
              </w:rPr>
            </w:r>
            <w:r w:rsidR="00DC7C5D" w:rsidRPr="00090CDE">
              <w:rPr>
                <w:noProof w:val="0"/>
                <w:webHidden/>
              </w:rPr>
              <w:fldChar w:fldCharType="separate"/>
            </w:r>
            <w:r w:rsidR="007D675D" w:rsidRPr="00090CDE">
              <w:rPr>
                <w:noProof w:val="0"/>
                <w:webHidden/>
              </w:rPr>
              <w:t>27</w:t>
            </w:r>
            <w:r w:rsidR="00DC7C5D" w:rsidRPr="00090CDE">
              <w:rPr>
                <w:noProof w:val="0"/>
                <w:webHidden/>
              </w:rPr>
              <w:fldChar w:fldCharType="end"/>
            </w:r>
          </w:hyperlink>
        </w:p>
        <w:p w:rsidR="00DC7C5D" w:rsidRPr="00090CDE" w:rsidRDefault="006A0312" w:rsidP="00DC7C5D">
          <w:pPr>
            <w:pStyle w:val="TOC1"/>
            <w:rPr>
              <w:rFonts w:asciiTheme="minorHAnsi" w:eastAsiaTheme="minorEastAsia" w:hAnsiTheme="minorHAnsi"/>
              <w:noProof w:val="0"/>
            </w:rPr>
          </w:pPr>
          <w:hyperlink w:anchor="_Toc455138991" w:history="1">
            <w:r w:rsidR="00DC7C5D" w:rsidRPr="00090CDE">
              <w:rPr>
                <w:rStyle w:val="Hyperlink"/>
                <w:noProof w:val="0"/>
                <w:color w:val="auto"/>
              </w:rPr>
              <w:t>4.Pārskats par aizbildnības lietām</w:t>
            </w:r>
            <w:r w:rsidR="00DC7C5D" w:rsidRPr="00090CDE">
              <w:rPr>
                <w:noProof w:val="0"/>
                <w:webHidden/>
              </w:rPr>
              <w:tab/>
            </w:r>
            <w:r w:rsidR="00DC7C5D" w:rsidRPr="00090CDE">
              <w:rPr>
                <w:noProof w:val="0"/>
                <w:webHidden/>
              </w:rPr>
              <w:fldChar w:fldCharType="begin"/>
            </w:r>
            <w:r w:rsidR="00DC7C5D" w:rsidRPr="00090CDE">
              <w:rPr>
                <w:noProof w:val="0"/>
                <w:webHidden/>
              </w:rPr>
              <w:instrText xml:space="preserve"> PAGEREF _Toc455138991 \h </w:instrText>
            </w:r>
            <w:r w:rsidR="00DC7C5D" w:rsidRPr="00090CDE">
              <w:rPr>
                <w:noProof w:val="0"/>
                <w:webHidden/>
              </w:rPr>
            </w:r>
            <w:r w:rsidR="00DC7C5D" w:rsidRPr="00090CDE">
              <w:rPr>
                <w:noProof w:val="0"/>
                <w:webHidden/>
              </w:rPr>
              <w:fldChar w:fldCharType="separate"/>
            </w:r>
            <w:r w:rsidR="007D675D" w:rsidRPr="00090CDE">
              <w:rPr>
                <w:noProof w:val="0"/>
                <w:webHidden/>
              </w:rPr>
              <w:t>29</w:t>
            </w:r>
            <w:r w:rsidR="00DC7C5D" w:rsidRPr="00090CDE">
              <w:rPr>
                <w:noProof w:val="0"/>
                <w:webHidden/>
              </w:rPr>
              <w:fldChar w:fldCharType="end"/>
            </w:r>
          </w:hyperlink>
        </w:p>
        <w:p w:rsidR="00DC7C5D" w:rsidRPr="00090CDE" w:rsidRDefault="006A0312" w:rsidP="00DC7C5D">
          <w:pPr>
            <w:pStyle w:val="TOC2"/>
            <w:rPr>
              <w:rFonts w:asciiTheme="minorHAnsi" w:eastAsiaTheme="minorEastAsia" w:hAnsiTheme="minorHAnsi"/>
              <w:noProof w:val="0"/>
              <w:lang w:eastAsia="lv-LV"/>
            </w:rPr>
          </w:pPr>
          <w:hyperlink w:anchor="_Toc455138992" w:history="1">
            <w:r w:rsidR="00DC7C5D" w:rsidRPr="00090CDE">
              <w:rPr>
                <w:rStyle w:val="Hyperlink"/>
                <w:noProof w:val="0"/>
                <w:color w:val="auto"/>
              </w:rPr>
              <w:t>4.1.Aizbildņu kopējais skaits pārskata gada 31.decembrī</w:t>
            </w:r>
            <w:r w:rsidR="00DC7C5D" w:rsidRPr="00090CDE">
              <w:rPr>
                <w:noProof w:val="0"/>
                <w:webHidden/>
              </w:rPr>
              <w:tab/>
            </w:r>
            <w:r w:rsidR="00DC7C5D" w:rsidRPr="00090CDE">
              <w:rPr>
                <w:noProof w:val="0"/>
                <w:webHidden/>
              </w:rPr>
              <w:fldChar w:fldCharType="begin"/>
            </w:r>
            <w:r w:rsidR="00DC7C5D" w:rsidRPr="00090CDE">
              <w:rPr>
                <w:noProof w:val="0"/>
                <w:webHidden/>
              </w:rPr>
              <w:instrText xml:space="preserve"> PAGEREF _Toc455138992 \h </w:instrText>
            </w:r>
            <w:r w:rsidR="00DC7C5D" w:rsidRPr="00090CDE">
              <w:rPr>
                <w:noProof w:val="0"/>
                <w:webHidden/>
              </w:rPr>
            </w:r>
            <w:r w:rsidR="00DC7C5D" w:rsidRPr="00090CDE">
              <w:rPr>
                <w:noProof w:val="0"/>
                <w:webHidden/>
              </w:rPr>
              <w:fldChar w:fldCharType="separate"/>
            </w:r>
            <w:r w:rsidR="007D675D" w:rsidRPr="00090CDE">
              <w:rPr>
                <w:noProof w:val="0"/>
                <w:webHidden/>
              </w:rPr>
              <w:t>30</w:t>
            </w:r>
            <w:r w:rsidR="00DC7C5D" w:rsidRPr="00090CDE">
              <w:rPr>
                <w:noProof w:val="0"/>
                <w:webHidden/>
              </w:rPr>
              <w:fldChar w:fldCharType="end"/>
            </w:r>
          </w:hyperlink>
        </w:p>
        <w:p w:rsidR="00DC7C5D" w:rsidRPr="00090CDE" w:rsidRDefault="006A0312" w:rsidP="00DC7C5D">
          <w:pPr>
            <w:pStyle w:val="TOC2"/>
            <w:rPr>
              <w:rFonts w:asciiTheme="minorHAnsi" w:eastAsiaTheme="minorEastAsia" w:hAnsiTheme="minorHAnsi"/>
              <w:noProof w:val="0"/>
              <w:lang w:eastAsia="lv-LV"/>
            </w:rPr>
          </w:pPr>
          <w:hyperlink w:anchor="_Toc455138993" w:history="1">
            <w:r w:rsidR="00DC7C5D" w:rsidRPr="00090CDE">
              <w:rPr>
                <w:rStyle w:val="Hyperlink"/>
                <w:noProof w:val="0"/>
                <w:color w:val="auto"/>
              </w:rPr>
              <w:t>4.2.Aizbildņu un aizbildnībā esošo bērnu skaits pārskata gadā</w:t>
            </w:r>
            <w:r w:rsidR="00DC7C5D" w:rsidRPr="00090CDE">
              <w:rPr>
                <w:noProof w:val="0"/>
                <w:webHidden/>
              </w:rPr>
              <w:tab/>
            </w:r>
            <w:r w:rsidR="00DC7C5D" w:rsidRPr="00090CDE">
              <w:rPr>
                <w:noProof w:val="0"/>
                <w:webHidden/>
              </w:rPr>
              <w:fldChar w:fldCharType="begin"/>
            </w:r>
            <w:r w:rsidR="00DC7C5D" w:rsidRPr="00090CDE">
              <w:rPr>
                <w:noProof w:val="0"/>
                <w:webHidden/>
              </w:rPr>
              <w:instrText xml:space="preserve"> PAGEREF _Toc455138993 \h </w:instrText>
            </w:r>
            <w:r w:rsidR="00DC7C5D" w:rsidRPr="00090CDE">
              <w:rPr>
                <w:noProof w:val="0"/>
                <w:webHidden/>
              </w:rPr>
            </w:r>
            <w:r w:rsidR="00DC7C5D" w:rsidRPr="00090CDE">
              <w:rPr>
                <w:noProof w:val="0"/>
                <w:webHidden/>
              </w:rPr>
              <w:fldChar w:fldCharType="separate"/>
            </w:r>
            <w:r w:rsidR="007D675D" w:rsidRPr="00090CDE">
              <w:rPr>
                <w:noProof w:val="0"/>
                <w:webHidden/>
              </w:rPr>
              <w:t>31</w:t>
            </w:r>
            <w:r w:rsidR="00DC7C5D" w:rsidRPr="00090CDE">
              <w:rPr>
                <w:noProof w:val="0"/>
                <w:webHidden/>
              </w:rPr>
              <w:fldChar w:fldCharType="end"/>
            </w:r>
          </w:hyperlink>
        </w:p>
        <w:p w:rsidR="00DC7C5D" w:rsidRPr="00090CDE" w:rsidRDefault="006A0312" w:rsidP="00DC7C5D">
          <w:pPr>
            <w:pStyle w:val="TOC2"/>
            <w:rPr>
              <w:rFonts w:asciiTheme="minorHAnsi" w:eastAsiaTheme="minorEastAsia" w:hAnsiTheme="minorHAnsi"/>
              <w:noProof w:val="0"/>
              <w:lang w:eastAsia="lv-LV"/>
            </w:rPr>
          </w:pPr>
          <w:hyperlink w:anchor="_Toc455138994" w:history="1">
            <w:r w:rsidR="00DC7C5D" w:rsidRPr="00090CDE">
              <w:rPr>
                <w:rStyle w:val="Hyperlink"/>
                <w:noProof w:val="0"/>
                <w:color w:val="auto"/>
              </w:rPr>
              <w:t>4.3.Aizbildnības izbeigšanās pārskata gadā</w:t>
            </w:r>
            <w:r w:rsidR="00DC7C5D" w:rsidRPr="00090CDE">
              <w:rPr>
                <w:noProof w:val="0"/>
                <w:webHidden/>
              </w:rPr>
              <w:tab/>
            </w:r>
            <w:r w:rsidR="00DC7C5D" w:rsidRPr="00090CDE">
              <w:rPr>
                <w:noProof w:val="0"/>
                <w:webHidden/>
              </w:rPr>
              <w:fldChar w:fldCharType="begin"/>
            </w:r>
            <w:r w:rsidR="00DC7C5D" w:rsidRPr="00090CDE">
              <w:rPr>
                <w:noProof w:val="0"/>
                <w:webHidden/>
              </w:rPr>
              <w:instrText xml:space="preserve"> PAGEREF _Toc455138994 \h </w:instrText>
            </w:r>
            <w:r w:rsidR="00DC7C5D" w:rsidRPr="00090CDE">
              <w:rPr>
                <w:noProof w:val="0"/>
                <w:webHidden/>
              </w:rPr>
            </w:r>
            <w:r w:rsidR="00DC7C5D" w:rsidRPr="00090CDE">
              <w:rPr>
                <w:noProof w:val="0"/>
                <w:webHidden/>
              </w:rPr>
              <w:fldChar w:fldCharType="separate"/>
            </w:r>
            <w:r w:rsidR="007D675D" w:rsidRPr="00090CDE">
              <w:rPr>
                <w:noProof w:val="0"/>
                <w:webHidden/>
              </w:rPr>
              <w:t>33</w:t>
            </w:r>
            <w:r w:rsidR="00DC7C5D" w:rsidRPr="00090CDE">
              <w:rPr>
                <w:noProof w:val="0"/>
                <w:webHidden/>
              </w:rPr>
              <w:fldChar w:fldCharType="end"/>
            </w:r>
          </w:hyperlink>
        </w:p>
        <w:p w:rsidR="00DC7C5D" w:rsidRPr="00090CDE" w:rsidRDefault="006A0312" w:rsidP="00DC7C5D">
          <w:pPr>
            <w:pStyle w:val="TOC1"/>
            <w:rPr>
              <w:rFonts w:asciiTheme="minorHAnsi" w:eastAsiaTheme="minorEastAsia" w:hAnsiTheme="minorHAnsi"/>
              <w:noProof w:val="0"/>
            </w:rPr>
          </w:pPr>
          <w:hyperlink w:anchor="_Toc455138995" w:history="1">
            <w:r w:rsidR="00DC7C5D" w:rsidRPr="00090CDE">
              <w:rPr>
                <w:rStyle w:val="Hyperlink"/>
                <w:noProof w:val="0"/>
                <w:color w:val="auto"/>
              </w:rPr>
              <w:t>5.Pārskats par audžuģimeņu lietām</w:t>
            </w:r>
            <w:r w:rsidR="00DC7C5D" w:rsidRPr="00090CDE">
              <w:rPr>
                <w:noProof w:val="0"/>
                <w:webHidden/>
              </w:rPr>
              <w:tab/>
            </w:r>
            <w:r w:rsidR="00DC7C5D" w:rsidRPr="00090CDE">
              <w:rPr>
                <w:noProof w:val="0"/>
                <w:webHidden/>
              </w:rPr>
              <w:fldChar w:fldCharType="begin"/>
            </w:r>
            <w:r w:rsidR="00DC7C5D" w:rsidRPr="00090CDE">
              <w:rPr>
                <w:noProof w:val="0"/>
                <w:webHidden/>
              </w:rPr>
              <w:instrText xml:space="preserve"> PAGEREF _Toc455138995 \h </w:instrText>
            </w:r>
            <w:r w:rsidR="00DC7C5D" w:rsidRPr="00090CDE">
              <w:rPr>
                <w:noProof w:val="0"/>
                <w:webHidden/>
              </w:rPr>
            </w:r>
            <w:r w:rsidR="00DC7C5D" w:rsidRPr="00090CDE">
              <w:rPr>
                <w:noProof w:val="0"/>
                <w:webHidden/>
              </w:rPr>
              <w:fldChar w:fldCharType="separate"/>
            </w:r>
            <w:r w:rsidR="007D675D" w:rsidRPr="00090CDE">
              <w:rPr>
                <w:noProof w:val="0"/>
                <w:webHidden/>
              </w:rPr>
              <w:t>36</w:t>
            </w:r>
            <w:r w:rsidR="00DC7C5D" w:rsidRPr="00090CDE">
              <w:rPr>
                <w:noProof w:val="0"/>
                <w:webHidden/>
              </w:rPr>
              <w:fldChar w:fldCharType="end"/>
            </w:r>
          </w:hyperlink>
        </w:p>
        <w:p w:rsidR="00DC7C5D" w:rsidRPr="00090CDE" w:rsidRDefault="006A0312" w:rsidP="00DC7C5D">
          <w:pPr>
            <w:pStyle w:val="TOC2"/>
            <w:rPr>
              <w:rFonts w:asciiTheme="minorHAnsi" w:eastAsiaTheme="minorEastAsia" w:hAnsiTheme="minorHAnsi"/>
              <w:noProof w:val="0"/>
              <w:lang w:eastAsia="lv-LV"/>
            </w:rPr>
          </w:pPr>
          <w:hyperlink w:anchor="_Toc455138996" w:history="1">
            <w:r w:rsidR="00DC7C5D" w:rsidRPr="00090CDE">
              <w:rPr>
                <w:rStyle w:val="Hyperlink"/>
                <w:noProof w:val="0"/>
                <w:color w:val="auto"/>
              </w:rPr>
              <w:t>5.1.Audžuģimeņu kopējais skaits</w:t>
            </w:r>
            <w:r w:rsidR="00DC7C5D" w:rsidRPr="00090CDE">
              <w:rPr>
                <w:noProof w:val="0"/>
                <w:webHidden/>
              </w:rPr>
              <w:tab/>
            </w:r>
            <w:r w:rsidR="00DC7C5D" w:rsidRPr="00090CDE">
              <w:rPr>
                <w:noProof w:val="0"/>
                <w:webHidden/>
              </w:rPr>
              <w:fldChar w:fldCharType="begin"/>
            </w:r>
            <w:r w:rsidR="00DC7C5D" w:rsidRPr="00090CDE">
              <w:rPr>
                <w:noProof w:val="0"/>
                <w:webHidden/>
              </w:rPr>
              <w:instrText xml:space="preserve"> PAGEREF _Toc455138996 \h </w:instrText>
            </w:r>
            <w:r w:rsidR="00DC7C5D" w:rsidRPr="00090CDE">
              <w:rPr>
                <w:noProof w:val="0"/>
                <w:webHidden/>
              </w:rPr>
            </w:r>
            <w:r w:rsidR="00DC7C5D" w:rsidRPr="00090CDE">
              <w:rPr>
                <w:noProof w:val="0"/>
                <w:webHidden/>
              </w:rPr>
              <w:fldChar w:fldCharType="separate"/>
            </w:r>
            <w:r w:rsidR="007D675D" w:rsidRPr="00090CDE">
              <w:rPr>
                <w:noProof w:val="0"/>
                <w:webHidden/>
              </w:rPr>
              <w:t>37</w:t>
            </w:r>
            <w:r w:rsidR="00DC7C5D" w:rsidRPr="00090CDE">
              <w:rPr>
                <w:noProof w:val="0"/>
                <w:webHidden/>
              </w:rPr>
              <w:fldChar w:fldCharType="end"/>
            </w:r>
          </w:hyperlink>
        </w:p>
        <w:p w:rsidR="00DC7C5D" w:rsidRPr="00090CDE" w:rsidRDefault="006A0312" w:rsidP="00DC7C5D">
          <w:pPr>
            <w:pStyle w:val="TOC2"/>
            <w:rPr>
              <w:rFonts w:asciiTheme="minorHAnsi" w:eastAsiaTheme="minorEastAsia" w:hAnsiTheme="minorHAnsi"/>
              <w:noProof w:val="0"/>
              <w:lang w:eastAsia="lv-LV"/>
            </w:rPr>
          </w:pPr>
          <w:hyperlink w:anchor="_Toc455138997" w:history="1">
            <w:r w:rsidR="00DC7C5D" w:rsidRPr="00090CDE">
              <w:rPr>
                <w:rStyle w:val="Hyperlink"/>
                <w:noProof w:val="0"/>
                <w:color w:val="auto"/>
              </w:rPr>
              <w:t>5.2.Audžuģimeņu skaits pārskata gadā</w:t>
            </w:r>
            <w:r w:rsidR="00DC7C5D" w:rsidRPr="00090CDE">
              <w:rPr>
                <w:noProof w:val="0"/>
                <w:webHidden/>
              </w:rPr>
              <w:tab/>
            </w:r>
            <w:r w:rsidR="00DC7C5D" w:rsidRPr="00090CDE">
              <w:rPr>
                <w:noProof w:val="0"/>
                <w:webHidden/>
              </w:rPr>
              <w:fldChar w:fldCharType="begin"/>
            </w:r>
            <w:r w:rsidR="00DC7C5D" w:rsidRPr="00090CDE">
              <w:rPr>
                <w:noProof w:val="0"/>
                <w:webHidden/>
              </w:rPr>
              <w:instrText xml:space="preserve"> PAGEREF _Toc455138997 \h </w:instrText>
            </w:r>
            <w:r w:rsidR="00DC7C5D" w:rsidRPr="00090CDE">
              <w:rPr>
                <w:noProof w:val="0"/>
                <w:webHidden/>
              </w:rPr>
            </w:r>
            <w:r w:rsidR="00DC7C5D" w:rsidRPr="00090CDE">
              <w:rPr>
                <w:noProof w:val="0"/>
                <w:webHidden/>
              </w:rPr>
              <w:fldChar w:fldCharType="separate"/>
            </w:r>
            <w:r w:rsidR="007D675D" w:rsidRPr="00090CDE">
              <w:rPr>
                <w:noProof w:val="0"/>
                <w:webHidden/>
              </w:rPr>
              <w:t>38</w:t>
            </w:r>
            <w:r w:rsidR="00DC7C5D" w:rsidRPr="00090CDE">
              <w:rPr>
                <w:noProof w:val="0"/>
                <w:webHidden/>
              </w:rPr>
              <w:fldChar w:fldCharType="end"/>
            </w:r>
          </w:hyperlink>
        </w:p>
        <w:p w:rsidR="00DC7C5D" w:rsidRPr="00090CDE" w:rsidRDefault="006A0312" w:rsidP="00DC7C5D">
          <w:pPr>
            <w:pStyle w:val="TOC2"/>
            <w:rPr>
              <w:rFonts w:asciiTheme="minorHAnsi" w:eastAsiaTheme="minorEastAsia" w:hAnsiTheme="minorHAnsi"/>
              <w:noProof w:val="0"/>
              <w:lang w:eastAsia="lv-LV"/>
            </w:rPr>
          </w:pPr>
          <w:hyperlink w:anchor="_Toc455138998" w:history="1">
            <w:r w:rsidR="00DC7C5D" w:rsidRPr="00090CDE">
              <w:rPr>
                <w:rStyle w:val="Hyperlink"/>
                <w:noProof w:val="0"/>
                <w:color w:val="auto"/>
              </w:rPr>
              <w:t>5.3.Bērnu turpmākā aprūpe pēc aprūpes audžuģimenē izbeigšanas</w:t>
            </w:r>
            <w:r w:rsidR="00DC7C5D" w:rsidRPr="00090CDE">
              <w:rPr>
                <w:noProof w:val="0"/>
                <w:webHidden/>
              </w:rPr>
              <w:tab/>
            </w:r>
            <w:r w:rsidR="00DC7C5D" w:rsidRPr="00090CDE">
              <w:rPr>
                <w:noProof w:val="0"/>
                <w:webHidden/>
              </w:rPr>
              <w:fldChar w:fldCharType="begin"/>
            </w:r>
            <w:r w:rsidR="00DC7C5D" w:rsidRPr="00090CDE">
              <w:rPr>
                <w:noProof w:val="0"/>
                <w:webHidden/>
              </w:rPr>
              <w:instrText xml:space="preserve"> PAGEREF _Toc455138998 \h </w:instrText>
            </w:r>
            <w:r w:rsidR="00DC7C5D" w:rsidRPr="00090CDE">
              <w:rPr>
                <w:noProof w:val="0"/>
                <w:webHidden/>
              </w:rPr>
            </w:r>
            <w:r w:rsidR="00DC7C5D" w:rsidRPr="00090CDE">
              <w:rPr>
                <w:noProof w:val="0"/>
                <w:webHidden/>
              </w:rPr>
              <w:fldChar w:fldCharType="separate"/>
            </w:r>
            <w:r w:rsidR="007D675D" w:rsidRPr="00090CDE">
              <w:rPr>
                <w:noProof w:val="0"/>
                <w:webHidden/>
              </w:rPr>
              <w:t>40</w:t>
            </w:r>
            <w:r w:rsidR="00DC7C5D" w:rsidRPr="00090CDE">
              <w:rPr>
                <w:noProof w:val="0"/>
                <w:webHidden/>
              </w:rPr>
              <w:fldChar w:fldCharType="end"/>
            </w:r>
          </w:hyperlink>
        </w:p>
        <w:p w:rsidR="00DC7C5D" w:rsidRPr="00090CDE" w:rsidRDefault="006A0312" w:rsidP="00DC7C5D">
          <w:pPr>
            <w:pStyle w:val="TOC1"/>
            <w:rPr>
              <w:rFonts w:asciiTheme="minorHAnsi" w:eastAsiaTheme="minorEastAsia" w:hAnsiTheme="minorHAnsi"/>
              <w:noProof w:val="0"/>
            </w:rPr>
          </w:pPr>
          <w:hyperlink w:anchor="_Toc455138999" w:history="1">
            <w:r w:rsidR="00DC7C5D" w:rsidRPr="00090CDE">
              <w:rPr>
                <w:rStyle w:val="Hyperlink"/>
                <w:noProof w:val="0"/>
                <w:color w:val="auto"/>
              </w:rPr>
              <w:t>6.Pārskats par adopcijas lietām</w:t>
            </w:r>
            <w:r w:rsidR="00DC7C5D" w:rsidRPr="00090CDE">
              <w:rPr>
                <w:noProof w:val="0"/>
                <w:webHidden/>
              </w:rPr>
              <w:tab/>
            </w:r>
            <w:r w:rsidR="00DC7C5D" w:rsidRPr="00090CDE">
              <w:rPr>
                <w:noProof w:val="0"/>
                <w:webHidden/>
              </w:rPr>
              <w:fldChar w:fldCharType="begin"/>
            </w:r>
            <w:r w:rsidR="00DC7C5D" w:rsidRPr="00090CDE">
              <w:rPr>
                <w:noProof w:val="0"/>
                <w:webHidden/>
              </w:rPr>
              <w:instrText xml:space="preserve"> PAGEREF _Toc455138999 \h </w:instrText>
            </w:r>
            <w:r w:rsidR="00DC7C5D" w:rsidRPr="00090CDE">
              <w:rPr>
                <w:noProof w:val="0"/>
                <w:webHidden/>
              </w:rPr>
            </w:r>
            <w:r w:rsidR="00DC7C5D" w:rsidRPr="00090CDE">
              <w:rPr>
                <w:noProof w:val="0"/>
                <w:webHidden/>
              </w:rPr>
              <w:fldChar w:fldCharType="separate"/>
            </w:r>
            <w:r w:rsidR="007D675D" w:rsidRPr="00090CDE">
              <w:rPr>
                <w:noProof w:val="0"/>
                <w:webHidden/>
              </w:rPr>
              <w:t>41</w:t>
            </w:r>
            <w:r w:rsidR="00DC7C5D" w:rsidRPr="00090CDE">
              <w:rPr>
                <w:noProof w:val="0"/>
                <w:webHidden/>
              </w:rPr>
              <w:fldChar w:fldCharType="end"/>
            </w:r>
          </w:hyperlink>
        </w:p>
        <w:p w:rsidR="00DC7C5D" w:rsidRPr="00090CDE" w:rsidRDefault="006A0312" w:rsidP="00DC7C5D">
          <w:pPr>
            <w:pStyle w:val="TOC2"/>
            <w:rPr>
              <w:rFonts w:asciiTheme="minorHAnsi" w:eastAsiaTheme="minorEastAsia" w:hAnsiTheme="minorHAnsi"/>
              <w:noProof w:val="0"/>
              <w:lang w:eastAsia="lv-LV"/>
            </w:rPr>
          </w:pPr>
          <w:hyperlink w:anchor="_Toc455139000" w:history="1">
            <w:r w:rsidR="00DC7C5D" w:rsidRPr="00090CDE">
              <w:rPr>
                <w:rStyle w:val="Hyperlink"/>
                <w:noProof w:val="0"/>
                <w:color w:val="auto"/>
              </w:rPr>
              <w:t>6.1.Personu skaits, kas pārskata gadā ar bāriņtiesas lēmumu atzītas par adoptētājiem</w:t>
            </w:r>
            <w:r w:rsidR="00DC7C5D" w:rsidRPr="00090CDE">
              <w:rPr>
                <w:noProof w:val="0"/>
                <w:webHidden/>
              </w:rPr>
              <w:tab/>
            </w:r>
            <w:r w:rsidR="00DC7C5D" w:rsidRPr="00090CDE">
              <w:rPr>
                <w:noProof w:val="0"/>
                <w:webHidden/>
              </w:rPr>
              <w:fldChar w:fldCharType="begin"/>
            </w:r>
            <w:r w:rsidR="00DC7C5D" w:rsidRPr="00090CDE">
              <w:rPr>
                <w:noProof w:val="0"/>
                <w:webHidden/>
              </w:rPr>
              <w:instrText xml:space="preserve"> PAGEREF _Toc455139000 \h </w:instrText>
            </w:r>
            <w:r w:rsidR="00DC7C5D" w:rsidRPr="00090CDE">
              <w:rPr>
                <w:noProof w:val="0"/>
                <w:webHidden/>
              </w:rPr>
            </w:r>
            <w:r w:rsidR="00DC7C5D" w:rsidRPr="00090CDE">
              <w:rPr>
                <w:noProof w:val="0"/>
                <w:webHidden/>
              </w:rPr>
              <w:fldChar w:fldCharType="separate"/>
            </w:r>
            <w:r w:rsidR="007D675D" w:rsidRPr="00090CDE">
              <w:rPr>
                <w:noProof w:val="0"/>
                <w:webHidden/>
              </w:rPr>
              <w:t>42</w:t>
            </w:r>
            <w:r w:rsidR="00DC7C5D" w:rsidRPr="00090CDE">
              <w:rPr>
                <w:noProof w:val="0"/>
                <w:webHidden/>
              </w:rPr>
              <w:fldChar w:fldCharType="end"/>
            </w:r>
          </w:hyperlink>
        </w:p>
        <w:p w:rsidR="00DC7C5D" w:rsidRPr="00090CDE" w:rsidRDefault="006A0312" w:rsidP="00DC7C5D">
          <w:pPr>
            <w:pStyle w:val="TOC2"/>
            <w:rPr>
              <w:rFonts w:asciiTheme="minorHAnsi" w:eastAsiaTheme="minorEastAsia" w:hAnsiTheme="minorHAnsi"/>
              <w:noProof w:val="0"/>
              <w:lang w:eastAsia="lv-LV"/>
            </w:rPr>
          </w:pPr>
          <w:hyperlink w:anchor="_Toc455139001" w:history="1">
            <w:r w:rsidR="00DC7C5D" w:rsidRPr="00090CDE">
              <w:rPr>
                <w:rStyle w:val="Hyperlink"/>
                <w:noProof w:val="0"/>
                <w:color w:val="auto"/>
              </w:rPr>
              <w:t>6.2.Bērnu skaits, par kuriem bāriņtiesa pārskata gadā pieņēmusi lēmumus attiecībā uz adopciju</w:t>
            </w:r>
            <w:r w:rsidR="00DC7C5D" w:rsidRPr="00090CDE">
              <w:rPr>
                <w:noProof w:val="0"/>
                <w:webHidden/>
              </w:rPr>
              <w:tab/>
            </w:r>
            <w:r w:rsidR="00DC7C5D" w:rsidRPr="00090CDE">
              <w:rPr>
                <w:noProof w:val="0"/>
                <w:webHidden/>
              </w:rPr>
              <w:fldChar w:fldCharType="begin"/>
            </w:r>
            <w:r w:rsidR="00DC7C5D" w:rsidRPr="00090CDE">
              <w:rPr>
                <w:noProof w:val="0"/>
                <w:webHidden/>
              </w:rPr>
              <w:instrText xml:space="preserve"> PAGEREF _Toc455139001 \h </w:instrText>
            </w:r>
            <w:r w:rsidR="00DC7C5D" w:rsidRPr="00090CDE">
              <w:rPr>
                <w:noProof w:val="0"/>
                <w:webHidden/>
              </w:rPr>
            </w:r>
            <w:r w:rsidR="00DC7C5D" w:rsidRPr="00090CDE">
              <w:rPr>
                <w:noProof w:val="0"/>
                <w:webHidden/>
              </w:rPr>
              <w:fldChar w:fldCharType="separate"/>
            </w:r>
            <w:r w:rsidR="007D675D" w:rsidRPr="00090CDE">
              <w:rPr>
                <w:noProof w:val="0"/>
                <w:webHidden/>
              </w:rPr>
              <w:t>43</w:t>
            </w:r>
            <w:r w:rsidR="00DC7C5D" w:rsidRPr="00090CDE">
              <w:rPr>
                <w:noProof w:val="0"/>
                <w:webHidden/>
              </w:rPr>
              <w:fldChar w:fldCharType="end"/>
            </w:r>
          </w:hyperlink>
        </w:p>
        <w:p w:rsidR="00DC7C5D" w:rsidRPr="00090CDE" w:rsidRDefault="006A0312" w:rsidP="00DC7C5D">
          <w:pPr>
            <w:pStyle w:val="TOC1"/>
            <w:rPr>
              <w:rFonts w:asciiTheme="minorHAnsi" w:eastAsiaTheme="minorEastAsia" w:hAnsiTheme="minorHAnsi"/>
              <w:noProof w:val="0"/>
            </w:rPr>
          </w:pPr>
          <w:hyperlink w:anchor="_Toc455139002" w:history="1">
            <w:r w:rsidR="00DC7C5D" w:rsidRPr="00090CDE">
              <w:rPr>
                <w:rStyle w:val="Hyperlink"/>
                <w:noProof w:val="0"/>
                <w:color w:val="auto"/>
              </w:rPr>
              <w:t>7. Pārskats par bērna nodošanu citas personas aprūpē Latvijā un ārvalstīs</w:t>
            </w:r>
            <w:r w:rsidR="00DC7C5D" w:rsidRPr="00090CDE">
              <w:rPr>
                <w:noProof w:val="0"/>
                <w:webHidden/>
              </w:rPr>
              <w:tab/>
            </w:r>
            <w:r w:rsidR="00DC7C5D" w:rsidRPr="00090CDE">
              <w:rPr>
                <w:noProof w:val="0"/>
                <w:webHidden/>
              </w:rPr>
              <w:fldChar w:fldCharType="begin"/>
            </w:r>
            <w:r w:rsidR="00DC7C5D" w:rsidRPr="00090CDE">
              <w:rPr>
                <w:noProof w:val="0"/>
                <w:webHidden/>
              </w:rPr>
              <w:instrText xml:space="preserve"> PAGEREF _Toc455139002 \h </w:instrText>
            </w:r>
            <w:r w:rsidR="00DC7C5D" w:rsidRPr="00090CDE">
              <w:rPr>
                <w:noProof w:val="0"/>
                <w:webHidden/>
              </w:rPr>
            </w:r>
            <w:r w:rsidR="00DC7C5D" w:rsidRPr="00090CDE">
              <w:rPr>
                <w:noProof w:val="0"/>
                <w:webHidden/>
              </w:rPr>
              <w:fldChar w:fldCharType="separate"/>
            </w:r>
            <w:r w:rsidR="007D675D" w:rsidRPr="00090CDE">
              <w:rPr>
                <w:noProof w:val="0"/>
                <w:webHidden/>
              </w:rPr>
              <w:t>46</w:t>
            </w:r>
            <w:r w:rsidR="00DC7C5D" w:rsidRPr="00090CDE">
              <w:rPr>
                <w:noProof w:val="0"/>
                <w:webHidden/>
              </w:rPr>
              <w:fldChar w:fldCharType="end"/>
            </w:r>
          </w:hyperlink>
        </w:p>
        <w:p w:rsidR="00DC7C5D" w:rsidRPr="00090CDE" w:rsidRDefault="006A0312" w:rsidP="00DC7C5D">
          <w:pPr>
            <w:pStyle w:val="TOC2"/>
            <w:rPr>
              <w:rFonts w:asciiTheme="minorHAnsi" w:eastAsiaTheme="minorEastAsia" w:hAnsiTheme="minorHAnsi"/>
              <w:noProof w:val="0"/>
              <w:lang w:eastAsia="lv-LV"/>
            </w:rPr>
          </w:pPr>
          <w:hyperlink w:anchor="_Toc455139003" w:history="1">
            <w:r w:rsidR="00DC7C5D" w:rsidRPr="00090CDE">
              <w:rPr>
                <w:rStyle w:val="Hyperlink"/>
                <w:rFonts w:eastAsia="Times New Roman"/>
                <w:noProof w:val="0"/>
                <w:color w:val="auto"/>
                <w:lang w:eastAsia="lv-LV"/>
              </w:rPr>
              <w:t>7.1. Vecāku aprūpē esoša bērna nodošana citas personas aprūpē Latvijā un ārvalstī pārskata gadā</w:t>
            </w:r>
            <w:r w:rsidR="00DC7C5D" w:rsidRPr="00090CDE">
              <w:rPr>
                <w:noProof w:val="0"/>
                <w:webHidden/>
              </w:rPr>
              <w:tab/>
            </w:r>
            <w:r w:rsidR="00DC7C5D" w:rsidRPr="00090CDE">
              <w:rPr>
                <w:noProof w:val="0"/>
                <w:webHidden/>
              </w:rPr>
              <w:fldChar w:fldCharType="begin"/>
            </w:r>
            <w:r w:rsidR="00DC7C5D" w:rsidRPr="00090CDE">
              <w:rPr>
                <w:noProof w:val="0"/>
                <w:webHidden/>
              </w:rPr>
              <w:instrText xml:space="preserve"> PAGEREF _Toc455139003 \h </w:instrText>
            </w:r>
            <w:r w:rsidR="00DC7C5D" w:rsidRPr="00090CDE">
              <w:rPr>
                <w:noProof w:val="0"/>
                <w:webHidden/>
              </w:rPr>
            </w:r>
            <w:r w:rsidR="00DC7C5D" w:rsidRPr="00090CDE">
              <w:rPr>
                <w:noProof w:val="0"/>
                <w:webHidden/>
              </w:rPr>
              <w:fldChar w:fldCharType="separate"/>
            </w:r>
            <w:r w:rsidR="007D675D" w:rsidRPr="00090CDE">
              <w:rPr>
                <w:noProof w:val="0"/>
                <w:webHidden/>
              </w:rPr>
              <w:t>46</w:t>
            </w:r>
            <w:r w:rsidR="00DC7C5D" w:rsidRPr="00090CDE">
              <w:rPr>
                <w:noProof w:val="0"/>
                <w:webHidden/>
              </w:rPr>
              <w:fldChar w:fldCharType="end"/>
            </w:r>
          </w:hyperlink>
        </w:p>
        <w:p w:rsidR="00DC7C5D" w:rsidRPr="00090CDE" w:rsidRDefault="006A0312" w:rsidP="00DC7C5D">
          <w:pPr>
            <w:pStyle w:val="TOC2"/>
            <w:rPr>
              <w:rFonts w:asciiTheme="minorHAnsi" w:eastAsiaTheme="minorEastAsia" w:hAnsiTheme="minorHAnsi"/>
              <w:noProof w:val="0"/>
              <w:lang w:eastAsia="lv-LV"/>
            </w:rPr>
          </w:pPr>
          <w:hyperlink w:anchor="_Toc455139004" w:history="1">
            <w:r w:rsidR="00DC7C5D" w:rsidRPr="00090CDE">
              <w:rPr>
                <w:rStyle w:val="Hyperlink"/>
                <w:rFonts w:eastAsia="Times New Roman"/>
                <w:noProof w:val="0"/>
                <w:color w:val="auto"/>
                <w:lang w:eastAsia="lv-LV"/>
              </w:rPr>
              <w:t>7.2.Ārpusģimenes aprūpē esoša bērna nodošana citas personas aprūpē Latvijā un ārvalstīs pārskata gadā</w:t>
            </w:r>
            <w:r w:rsidR="00DC7C5D" w:rsidRPr="00090CDE">
              <w:rPr>
                <w:noProof w:val="0"/>
                <w:webHidden/>
              </w:rPr>
              <w:tab/>
            </w:r>
            <w:r w:rsidR="00DC7C5D" w:rsidRPr="00090CDE">
              <w:rPr>
                <w:noProof w:val="0"/>
                <w:webHidden/>
              </w:rPr>
              <w:fldChar w:fldCharType="begin"/>
            </w:r>
            <w:r w:rsidR="00DC7C5D" w:rsidRPr="00090CDE">
              <w:rPr>
                <w:noProof w:val="0"/>
                <w:webHidden/>
              </w:rPr>
              <w:instrText xml:space="preserve"> PAGEREF _Toc455139004 \h </w:instrText>
            </w:r>
            <w:r w:rsidR="00DC7C5D" w:rsidRPr="00090CDE">
              <w:rPr>
                <w:noProof w:val="0"/>
                <w:webHidden/>
              </w:rPr>
            </w:r>
            <w:r w:rsidR="00DC7C5D" w:rsidRPr="00090CDE">
              <w:rPr>
                <w:noProof w:val="0"/>
                <w:webHidden/>
              </w:rPr>
              <w:fldChar w:fldCharType="separate"/>
            </w:r>
            <w:r w:rsidR="007D675D" w:rsidRPr="00090CDE">
              <w:rPr>
                <w:noProof w:val="0"/>
                <w:webHidden/>
              </w:rPr>
              <w:t>47</w:t>
            </w:r>
            <w:r w:rsidR="00DC7C5D" w:rsidRPr="00090CDE">
              <w:rPr>
                <w:noProof w:val="0"/>
                <w:webHidden/>
              </w:rPr>
              <w:fldChar w:fldCharType="end"/>
            </w:r>
          </w:hyperlink>
        </w:p>
        <w:p w:rsidR="00DC7C5D" w:rsidRPr="00090CDE" w:rsidRDefault="006A0312" w:rsidP="00DC7C5D">
          <w:pPr>
            <w:pStyle w:val="TOC1"/>
            <w:rPr>
              <w:rFonts w:asciiTheme="minorHAnsi" w:eastAsiaTheme="minorEastAsia" w:hAnsiTheme="minorHAnsi"/>
              <w:noProof w:val="0"/>
            </w:rPr>
          </w:pPr>
          <w:hyperlink w:anchor="_Toc455139005" w:history="1">
            <w:r w:rsidR="00DC7C5D" w:rsidRPr="00090CDE">
              <w:rPr>
                <w:rStyle w:val="Hyperlink"/>
                <w:noProof w:val="0"/>
                <w:color w:val="auto"/>
              </w:rPr>
              <w:t>8.Pārskats par aizgādnības lietām</w:t>
            </w:r>
            <w:r w:rsidR="00DC7C5D" w:rsidRPr="00090CDE">
              <w:rPr>
                <w:noProof w:val="0"/>
                <w:webHidden/>
              </w:rPr>
              <w:tab/>
            </w:r>
            <w:r w:rsidR="00DC7C5D" w:rsidRPr="00090CDE">
              <w:rPr>
                <w:noProof w:val="0"/>
                <w:webHidden/>
              </w:rPr>
              <w:fldChar w:fldCharType="begin"/>
            </w:r>
            <w:r w:rsidR="00DC7C5D" w:rsidRPr="00090CDE">
              <w:rPr>
                <w:noProof w:val="0"/>
                <w:webHidden/>
              </w:rPr>
              <w:instrText xml:space="preserve"> PAGEREF _Toc455139005 \h </w:instrText>
            </w:r>
            <w:r w:rsidR="00DC7C5D" w:rsidRPr="00090CDE">
              <w:rPr>
                <w:noProof w:val="0"/>
                <w:webHidden/>
              </w:rPr>
            </w:r>
            <w:r w:rsidR="00DC7C5D" w:rsidRPr="00090CDE">
              <w:rPr>
                <w:noProof w:val="0"/>
                <w:webHidden/>
              </w:rPr>
              <w:fldChar w:fldCharType="separate"/>
            </w:r>
            <w:r w:rsidR="007D675D" w:rsidRPr="00090CDE">
              <w:rPr>
                <w:noProof w:val="0"/>
                <w:webHidden/>
              </w:rPr>
              <w:t>50</w:t>
            </w:r>
            <w:r w:rsidR="00DC7C5D" w:rsidRPr="00090CDE">
              <w:rPr>
                <w:noProof w:val="0"/>
                <w:webHidden/>
              </w:rPr>
              <w:fldChar w:fldCharType="end"/>
            </w:r>
          </w:hyperlink>
        </w:p>
        <w:p w:rsidR="00DC7C5D" w:rsidRPr="00090CDE" w:rsidRDefault="006A0312" w:rsidP="00DC7C5D">
          <w:pPr>
            <w:pStyle w:val="TOC2"/>
            <w:rPr>
              <w:rFonts w:asciiTheme="minorHAnsi" w:eastAsiaTheme="minorEastAsia" w:hAnsiTheme="minorHAnsi"/>
              <w:noProof w:val="0"/>
              <w:lang w:eastAsia="lv-LV"/>
            </w:rPr>
          </w:pPr>
          <w:hyperlink w:anchor="_Toc455139006" w:history="1">
            <w:r w:rsidR="00DC7C5D" w:rsidRPr="00090CDE">
              <w:rPr>
                <w:rStyle w:val="Hyperlink"/>
                <w:noProof w:val="0"/>
                <w:color w:val="auto"/>
              </w:rPr>
              <w:t>8.1.Aizgādnībā esošo personu un aizgādņu kopējais skaits</w:t>
            </w:r>
            <w:r w:rsidR="00DC7C5D" w:rsidRPr="00090CDE">
              <w:rPr>
                <w:noProof w:val="0"/>
                <w:webHidden/>
              </w:rPr>
              <w:tab/>
            </w:r>
            <w:r w:rsidR="00DC7C5D" w:rsidRPr="00090CDE">
              <w:rPr>
                <w:noProof w:val="0"/>
                <w:webHidden/>
              </w:rPr>
              <w:fldChar w:fldCharType="begin"/>
            </w:r>
            <w:r w:rsidR="00DC7C5D" w:rsidRPr="00090CDE">
              <w:rPr>
                <w:noProof w:val="0"/>
                <w:webHidden/>
              </w:rPr>
              <w:instrText xml:space="preserve"> PAGEREF _Toc455139006 \h </w:instrText>
            </w:r>
            <w:r w:rsidR="00DC7C5D" w:rsidRPr="00090CDE">
              <w:rPr>
                <w:noProof w:val="0"/>
                <w:webHidden/>
              </w:rPr>
            </w:r>
            <w:r w:rsidR="00DC7C5D" w:rsidRPr="00090CDE">
              <w:rPr>
                <w:noProof w:val="0"/>
                <w:webHidden/>
              </w:rPr>
              <w:fldChar w:fldCharType="separate"/>
            </w:r>
            <w:r w:rsidR="007D675D" w:rsidRPr="00090CDE">
              <w:rPr>
                <w:noProof w:val="0"/>
                <w:webHidden/>
              </w:rPr>
              <w:t>52</w:t>
            </w:r>
            <w:r w:rsidR="00DC7C5D" w:rsidRPr="00090CDE">
              <w:rPr>
                <w:noProof w:val="0"/>
                <w:webHidden/>
              </w:rPr>
              <w:fldChar w:fldCharType="end"/>
            </w:r>
          </w:hyperlink>
        </w:p>
        <w:p w:rsidR="00DC7C5D" w:rsidRPr="00090CDE" w:rsidRDefault="006A0312" w:rsidP="00DC7C5D">
          <w:pPr>
            <w:pStyle w:val="TOC2"/>
            <w:rPr>
              <w:rFonts w:asciiTheme="minorHAnsi" w:eastAsiaTheme="minorEastAsia" w:hAnsiTheme="minorHAnsi"/>
              <w:noProof w:val="0"/>
              <w:lang w:eastAsia="lv-LV"/>
            </w:rPr>
          </w:pPr>
          <w:hyperlink w:anchor="_Toc455139007" w:history="1">
            <w:r w:rsidR="00DC7C5D" w:rsidRPr="00090CDE">
              <w:rPr>
                <w:rStyle w:val="Hyperlink"/>
                <w:noProof w:val="0"/>
                <w:color w:val="auto"/>
              </w:rPr>
              <w:t>8.2. Aizgādnībā esošo personu un aizgādņu skaits pārskata gadā</w:t>
            </w:r>
            <w:r w:rsidR="00DC7C5D" w:rsidRPr="00090CDE">
              <w:rPr>
                <w:noProof w:val="0"/>
                <w:webHidden/>
              </w:rPr>
              <w:tab/>
            </w:r>
            <w:r w:rsidR="00DC7C5D" w:rsidRPr="00090CDE">
              <w:rPr>
                <w:noProof w:val="0"/>
                <w:webHidden/>
              </w:rPr>
              <w:fldChar w:fldCharType="begin"/>
            </w:r>
            <w:r w:rsidR="00DC7C5D" w:rsidRPr="00090CDE">
              <w:rPr>
                <w:noProof w:val="0"/>
                <w:webHidden/>
              </w:rPr>
              <w:instrText xml:space="preserve"> PAGEREF _Toc455139007 \h </w:instrText>
            </w:r>
            <w:r w:rsidR="00DC7C5D" w:rsidRPr="00090CDE">
              <w:rPr>
                <w:noProof w:val="0"/>
                <w:webHidden/>
              </w:rPr>
            </w:r>
            <w:r w:rsidR="00DC7C5D" w:rsidRPr="00090CDE">
              <w:rPr>
                <w:noProof w:val="0"/>
                <w:webHidden/>
              </w:rPr>
              <w:fldChar w:fldCharType="separate"/>
            </w:r>
            <w:r w:rsidR="007D675D" w:rsidRPr="00090CDE">
              <w:rPr>
                <w:noProof w:val="0"/>
                <w:webHidden/>
              </w:rPr>
              <w:t>54</w:t>
            </w:r>
            <w:r w:rsidR="00DC7C5D" w:rsidRPr="00090CDE">
              <w:rPr>
                <w:noProof w:val="0"/>
                <w:webHidden/>
              </w:rPr>
              <w:fldChar w:fldCharType="end"/>
            </w:r>
          </w:hyperlink>
        </w:p>
        <w:p w:rsidR="00DC7C5D" w:rsidRPr="00090CDE" w:rsidRDefault="006A0312" w:rsidP="00DC7C5D">
          <w:pPr>
            <w:pStyle w:val="TOC1"/>
            <w:rPr>
              <w:rFonts w:asciiTheme="minorHAnsi" w:eastAsiaTheme="minorEastAsia" w:hAnsiTheme="minorHAnsi"/>
              <w:noProof w:val="0"/>
            </w:rPr>
          </w:pPr>
          <w:hyperlink w:anchor="_Toc455139008" w:history="1">
            <w:r w:rsidR="00DC7C5D" w:rsidRPr="00090CDE">
              <w:rPr>
                <w:rStyle w:val="Hyperlink"/>
                <w:noProof w:val="0"/>
                <w:color w:val="auto"/>
              </w:rPr>
              <w:t>9.Pārskats par bāriņtiesas lēmumiem citos jautājumos</w:t>
            </w:r>
            <w:r w:rsidR="00DC7C5D" w:rsidRPr="00090CDE">
              <w:rPr>
                <w:noProof w:val="0"/>
                <w:webHidden/>
              </w:rPr>
              <w:tab/>
            </w:r>
            <w:r w:rsidR="00DC7C5D" w:rsidRPr="00090CDE">
              <w:rPr>
                <w:noProof w:val="0"/>
                <w:webHidden/>
              </w:rPr>
              <w:fldChar w:fldCharType="begin"/>
            </w:r>
            <w:r w:rsidR="00DC7C5D" w:rsidRPr="00090CDE">
              <w:rPr>
                <w:noProof w:val="0"/>
                <w:webHidden/>
              </w:rPr>
              <w:instrText xml:space="preserve"> PAGEREF _Toc455139008 \h </w:instrText>
            </w:r>
            <w:r w:rsidR="00DC7C5D" w:rsidRPr="00090CDE">
              <w:rPr>
                <w:noProof w:val="0"/>
                <w:webHidden/>
              </w:rPr>
            </w:r>
            <w:r w:rsidR="00DC7C5D" w:rsidRPr="00090CDE">
              <w:rPr>
                <w:noProof w:val="0"/>
                <w:webHidden/>
              </w:rPr>
              <w:fldChar w:fldCharType="separate"/>
            </w:r>
            <w:r w:rsidR="007D675D" w:rsidRPr="00090CDE">
              <w:rPr>
                <w:noProof w:val="0"/>
                <w:webHidden/>
              </w:rPr>
              <w:t>56</w:t>
            </w:r>
            <w:r w:rsidR="00DC7C5D" w:rsidRPr="00090CDE">
              <w:rPr>
                <w:noProof w:val="0"/>
                <w:webHidden/>
              </w:rPr>
              <w:fldChar w:fldCharType="end"/>
            </w:r>
          </w:hyperlink>
        </w:p>
        <w:p w:rsidR="00DC7C5D" w:rsidRPr="00090CDE" w:rsidRDefault="006A0312" w:rsidP="00DC7C5D">
          <w:pPr>
            <w:pStyle w:val="TOC1"/>
            <w:rPr>
              <w:rFonts w:asciiTheme="minorHAnsi" w:eastAsiaTheme="minorEastAsia" w:hAnsiTheme="minorHAnsi"/>
              <w:noProof w:val="0"/>
            </w:rPr>
          </w:pPr>
          <w:hyperlink w:anchor="_Toc455139009" w:history="1">
            <w:r w:rsidR="00DC7C5D" w:rsidRPr="00090CDE">
              <w:rPr>
                <w:rStyle w:val="Hyperlink"/>
                <w:noProof w:val="0"/>
                <w:color w:val="auto"/>
              </w:rPr>
              <w:t>10.Pārskats par bāriņtiesas lēmumu un faktiskās rīcības pārsūdzību Administratīvajā rajonā tiesā</w:t>
            </w:r>
            <w:r w:rsidR="00DC7C5D" w:rsidRPr="00090CDE">
              <w:rPr>
                <w:noProof w:val="0"/>
                <w:webHidden/>
              </w:rPr>
              <w:tab/>
            </w:r>
            <w:r w:rsidR="00DC7C5D" w:rsidRPr="00090CDE">
              <w:rPr>
                <w:noProof w:val="0"/>
                <w:webHidden/>
              </w:rPr>
              <w:fldChar w:fldCharType="begin"/>
            </w:r>
            <w:r w:rsidR="00DC7C5D" w:rsidRPr="00090CDE">
              <w:rPr>
                <w:noProof w:val="0"/>
                <w:webHidden/>
              </w:rPr>
              <w:instrText xml:space="preserve"> PAGEREF _Toc455139009 \h </w:instrText>
            </w:r>
            <w:r w:rsidR="00DC7C5D" w:rsidRPr="00090CDE">
              <w:rPr>
                <w:noProof w:val="0"/>
                <w:webHidden/>
              </w:rPr>
            </w:r>
            <w:r w:rsidR="00DC7C5D" w:rsidRPr="00090CDE">
              <w:rPr>
                <w:noProof w:val="0"/>
                <w:webHidden/>
              </w:rPr>
              <w:fldChar w:fldCharType="separate"/>
            </w:r>
            <w:r w:rsidR="007D675D" w:rsidRPr="00090CDE">
              <w:rPr>
                <w:noProof w:val="0"/>
                <w:webHidden/>
              </w:rPr>
              <w:t>60</w:t>
            </w:r>
            <w:r w:rsidR="00DC7C5D" w:rsidRPr="00090CDE">
              <w:rPr>
                <w:noProof w:val="0"/>
                <w:webHidden/>
              </w:rPr>
              <w:fldChar w:fldCharType="end"/>
            </w:r>
          </w:hyperlink>
        </w:p>
        <w:p w:rsidR="0046122F" w:rsidRPr="00090CDE" w:rsidRDefault="00A74C1D" w:rsidP="00D63914">
          <w:pPr>
            <w:rPr>
              <w:b/>
            </w:rPr>
          </w:pPr>
          <w:r w:rsidRPr="00090CDE">
            <w:rPr>
              <w:b/>
            </w:rPr>
            <w:fldChar w:fldCharType="end"/>
          </w:r>
        </w:p>
      </w:sdtContent>
    </w:sdt>
    <w:p w:rsidR="0041143A" w:rsidRPr="00090CDE" w:rsidRDefault="00A82766" w:rsidP="00602125">
      <w:pPr>
        <w:pStyle w:val="Heading1"/>
        <w:rPr>
          <w:sz w:val="32"/>
        </w:rPr>
      </w:pPr>
      <w:bookmarkStart w:id="0" w:name="_Toc455138978"/>
      <w:r w:rsidRPr="00090CDE">
        <w:rPr>
          <w:sz w:val="32"/>
        </w:rPr>
        <w:lastRenderedPageBreak/>
        <w:t>1.</w:t>
      </w:r>
      <w:r w:rsidR="00F7076B" w:rsidRPr="00090CDE">
        <w:rPr>
          <w:sz w:val="32"/>
        </w:rPr>
        <w:t>Ģimenes, kurās netiek pietiekami nodrošināta bērna attīstība un audzināšana</w:t>
      </w:r>
      <w:bookmarkEnd w:id="0"/>
    </w:p>
    <w:p w:rsidR="0041143A" w:rsidRPr="00090CDE" w:rsidRDefault="0041143A" w:rsidP="00636652">
      <w:pPr>
        <w:spacing w:after="0" w:line="240" w:lineRule="auto"/>
        <w:rPr>
          <w:sz w:val="28"/>
          <w:szCs w:val="28"/>
        </w:rPr>
      </w:pPr>
    </w:p>
    <w:p w:rsidR="00DF4DCD" w:rsidRPr="00090CDE" w:rsidRDefault="001A0CB5" w:rsidP="00DF4DCD">
      <w:pPr>
        <w:spacing w:after="0"/>
        <w:ind w:firstLine="720"/>
        <w:rPr>
          <w:rFonts w:cs="Times New Roman"/>
          <w:sz w:val="28"/>
          <w:szCs w:val="28"/>
        </w:rPr>
      </w:pPr>
      <w:r w:rsidRPr="00090CDE">
        <w:rPr>
          <w:rFonts w:cs="Times New Roman"/>
          <w:sz w:val="28"/>
          <w:szCs w:val="28"/>
        </w:rPr>
        <w:t>Bērnu tiesību aizsardzības likuma 26.panta pirmajā daļā noteikts, ka ģimene ir dabiska bērna attīstības un augšanas vide, un katram bērnam ir neatņemamas tiesības uzaugt ģimenē. Valsts un pašvaldība atbalsta ģimeni un sniedz tai palīdzību.</w:t>
      </w:r>
      <w:r w:rsidR="00DF4DCD" w:rsidRPr="00090CDE">
        <w:rPr>
          <w:rFonts w:cs="Times New Roman"/>
          <w:sz w:val="28"/>
          <w:szCs w:val="28"/>
        </w:rPr>
        <w:t xml:space="preserve"> </w:t>
      </w:r>
      <w:r w:rsidR="00DF4DCD" w:rsidRPr="00090CDE">
        <w:rPr>
          <w:sz w:val="28"/>
          <w:szCs w:val="28"/>
        </w:rPr>
        <w:t>Valsts un pašvaldības sniedz atbalstu ģimenes un bērnu izglītības, veselības nostiprināšanas, kultūras un sporta, kā arī atpūtas iestādēm un organizācijām, lai sekmētu bērna fizisko attīstību un radošo darbību, gādā par bērna brīvā laika pavadīšanas iespējām un sniedz citus pakalpojumus, kuri veicina bērna pilnveidošanos un palīdz ģimenei bērna audzināšanā.</w:t>
      </w:r>
    </w:p>
    <w:p w:rsidR="00DF4DCD" w:rsidRPr="00090CDE" w:rsidRDefault="00903348" w:rsidP="006E2120">
      <w:pPr>
        <w:spacing w:after="0"/>
        <w:ind w:firstLine="720"/>
        <w:rPr>
          <w:rFonts w:eastAsia="Times New Roman" w:cs="Times New Roman"/>
          <w:sz w:val="28"/>
          <w:szCs w:val="28"/>
          <w:lang w:eastAsia="lv-LV"/>
        </w:rPr>
      </w:pPr>
      <w:r w:rsidRPr="00090CDE">
        <w:rPr>
          <w:sz w:val="28"/>
          <w:szCs w:val="28"/>
        </w:rPr>
        <w:t>ANO Ģenerālās asamblejas 1</w:t>
      </w:r>
      <w:r w:rsidR="0025286E" w:rsidRPr="00090CDE">
        <w:rPr>
          <w:sz w:val="28"/>
          <w:szCs w:val="28"/>
        </w:rPr>
        <w:t>989.gada 20.nove</w:t>
      </w:r>
      <w:r w:rsidR="006E2120" w:rsidRPr="00090CDE">
        <w:rPr>
          <w:sz w:val="28"/>
          <w:szCs w:val="28"/>
        </w:rPr>
        <w:t>mbra Konvencijas</w:t>
      </w:r>
      <w:r w:rsidRPr="00090CDE">
        <w:rPr>
          <w:sz w:val="28"/>
          <w:szCs w:val="28"/>
        </w:rPr>
        <w:t xml:space="preserve"> par bērna tiesībām </w:t>
      </w:r>
      <w:r w:rsidR="00514E0E" w:rsidRPr="00090CDE">
        <w:rPr>
          <w:rFonts w:eastAsia="Times New Roman" w:cs="Times New Roman"/>
          <w:sz w:val="28"/>
          <w:szCs w:val="28"/>
          <w:lang w:eastAsia="lv-LV"/>
        </w:rPr>
        <w:t>(turpmāk</w:t>
      </w:r>
      <w:r w:rsidR="009B1A9F" w:rsidRPr="00090CDE">
        <w:rPr>
          <w:rFonts w:eastAsia="Times New Roman" w:cs="Times New Roman"/>
          <w:sz w:val="28"/>
          <w:szCs w:val="28"/>
          <w:lang w:eastAsia="lv-LV"/>
        </w:rPr>
        <w:t xml:space="preserve"> – Konvencija par bērna tiesībām)</w:t>
      </w:r>
      <w:r w:rsidR="006E2120" w:rsidRPr="00090CDE">
        <w:rPr>
          <w:rFonts w:eastAsia="Times New Roman" w:cs="Times New Roman"/>
          <w:sz w:val="28"/>
          <w:szCs w:val="28"/>
          <w:lang w:eastAsia="lv-LV"/>
        </w:rPr>
        <w:t xml:space="preserve"> 18.panta 1.punkts paredz, ka vecāki ir galvenās personas, kas atbildīgas par bērna audzināšanu un attīstību. Nodrošināt, lai vislabāk tiktu aizsargātas bērna intereses, ir svarīgākais viņu rūpju objekts. Savukārt </w:t>
      </w:r>
      <w:r w:rsidR="006E2120" w:rsidRPr="00090CDE">
        <w:rPr>
          <w:sz w:val="28"/>
          <w:szCs w:val="28"/>
        </w:rPr>
        <w:t xml:space="preserve">Konvencijas par bērna tiesībām 9.pantā </w:t>
      </w:r>
      <w:r w:rsidRPr="00090CDE">
        <w:rPr>
          <w:sz w:val="28"/>
          <w:szCs w:val="28"/>
        </w:rPr>
        <w:t xml:space="preserve">ietverts bērnu tiesību princips, ka bērnus nevajadzētu šķirt no vecākiem, ja vien tas nav nepieciešams viņu vislabāko interešu nodrošināšanai. Minētais princips, ka bērnu tiesību aizsardzībā iesaistītajām pašvaldības institūcijām vispirms nepieciešams rast iespēju palīdzēt vecākiem un tikai tad, ja situācija ģimenē neuzlabojas, savu pilnvaru ietvaros </w:t>
      </w:r>
      <w:r w:rsidR="00E223D4" w:rsidRPr="00090CDE">
        <w:rPr>
          <w:sz w:val="28"/>
          <w:szCs w:val="28"/>
        </w:rPr>
        <w:t>jāšķir bērns no ģimenes</w:t>
      </w:r>
      <w:r w:rsidRPr="00090CDE">
        <w:rPr>
          <w:sz w:val="28"/>
          <w:szCs w:val="28"/>
        </w:rPr>
        <w:t xml:space="preserve">, attiecas uz visiem gadījumiem, izņemot tos, kad </w:t>
      </w:r>
      <w:r w:rsidR="00970D83" w:rsidRPr="00090CDE">
        <w:rPr>
          <w:sz w:val="28"/>
          <w:szCs w:val="28"/>
        </w:rPr>
        <w:t xml:space="preserve">nepieciešama tūlītēja šķiršana no ģimenes, respektīvi, </w:t>
      </w:r>
      <w:r w:rsidRPr="00090CDE">
        <w:rPr>
          <w:sz w:val="28"/>
          <w:szCs w:val="28"/>
        </w:rPr>
        <w:t xml:space="preserve">bērna </w:t>
      </w:r>
      <w:r w:rsidR="003772DB" w:rsidRPr="00090CDE">
        <w:rPr>
          <w:sz w:val="28"/>
          <w:szCs w:val="28"/>
        </w:rPr>
        <w:t xml:space="preserve">turpmākā atrašanās ģimenē </w:t>
      </w:r>
      <w:r w:rsidRPr="00090CDE">
        <w:rPr>
          <w:sz w:val="28"/>
          <w:szCs w:val="28"/>
        </w:rPr>
        <w:t>apdraud bērna dzīvību vai vesel</w:t>
      </w:r>
      <w:r w:rsidR="003772DB" w:rsidRPr="00090CDE">
        <w:rPr>
          <w:sz w:val="28"/>
          <w:szCs w:val="28"/>
        </w:rPr>
        <w:t>ību</w:t>
      </w:r>
      <w:r w:rsidRPr="00090CDE">
        <w:rPr>
          <w:sz w:val="28"/>
          <w:szCs w:val="28"/>
        </w:rPr>
        <w:t xml:space="preserve">. </w:t>
      </w:r>
    </w:p>
    <w:p w:rsidR="00E223D4" w:rsidRPr="00090CDE" w:rsidRDefault="00E223D4" w:rsidP="00E223D4">
      <w:pPr>
        <w:spacing w:after="0"/>
        <w:ind w:firstLine="720"/>
        <w:rPr>
          <w:sz w:val="28"/>
          <w:szCs w:val="28"/>
        </w:rPr>
      </w:pPr>
      <w:r w:rsidRPr="00090CDE">
        <w:rPr>
          <w:sz w:val="28"/>
          <w:szCs w:val="28"/>
        </w:rPr>
        <w:t xml:space="preserve">Sociālo pakalpojumu un sociālās palīdzības likuma 11.panta 2.punktā noteikts, ka pašvaldības sociālā dienesta uzdevums ir sniegt sociālos pakalpojumus vai organizēt to sniegšanu ģimenēm ar bērniem, kurās ir bērna attīstībai nelabvēlīgi apstākļi. Tādējādi </w:t>
      </w:r>
      <w:r w:rsidR="000831EA" w:rsidRPr="00090CDE">
        <w:rPr>
          <w:sz w:val="28"/>
          <w:szCs w:val="28"/>
        </w:rPr>
        <w:t>psiho</w:t>
      </w:r>
      <w:r w:rsidRPr="00090CDE">
        <w:rPr>
          <w:sz w:val="28"/>
          <w:szCs w:val="28"/>
        </w:rPr>
        <w:t>sociālais darbs ar ģimenēm, kuras nonākušas krīzes situācijās un kādu apstākļu dēļ nespēj pilnvērtīgi funkcionēt, tajā skaitā audzināt un aprū</w:t>
      </w:r>
      <w:r w:rsidR="0025286E" w:rsidRPr="00090CDE">
        <w:rPr>
          <w:sz w:val="28"/>
          <w:szCs w:val="28"/>
        </w:rPr>
        <w:t>pēt bērnu, ir sociālā dienesta</w:t>
      </w:r>
      <w:r w:rsidRPr="00090CDE">
        <w:rPr>
          <w:sz w:val="28"/>
          <w:szCs w:val="28"/>
        </w:rPr>
        <w:t xml:space="preserve"> pienākums.</w:t>
      </w:r>
    </w:p>
    <w:p w:rsidR="00A12D01" w:rsidRPr="00090CDE" w:rsidRDefault="000F18B3" w:rsidP="00E223D4">
      <w:pPr>
        <w:spacing w:after="0"/>
        <w:ind w:firstLine="720"/>
        <w:rPr>
          <w:bCs/>
          <w:sz w:val="28"/>
          <w:szCs w:val="28"/>
        </w:rPr>
      </w:pPr>
      <w:r w:rsidRPr="00090CDE">
        <w:rPr>
          <w:sz w:val="28"/>
          <w:szCs w:val="28"/>
        </w:rPr>
        <w:t>Bāriņtiesu likuma 17.panta 5.punktā noteikts, ka viens no bāriņtiesas pienākumiem ir informēt pašvaldības sociālo dienestu vai citu atbildīgo institūciju par ģimenēm, kurās netiek pietiekami nodrošināta bērna attīstība un audzināšana un</w:t>
      </w:r>
      <w:r w:rsidR="00E223D4" w:rsidRPr="00090CDE">
        <w:rPr>
          <w:sz w:val="28"/>
          <w:szCs w:val="28"/>
        </w:rPr>
        <w:t xml:space="preserve"> kurām nepieciešama palīdzība. </w:t>
      </w:r>
      <w:r w:rsidR="00970D83" w:rsidRPr="00090CDE">
        <w:rPr>
          <w:sz w:val="28"/>
          <w:szCs w:val="28"/>
        </w:rPr>
        <w:t>Bāriņtiesu praksē tie ir gadījumi, kad bāriņtiesa</w:t>
      </w:r>
      <w:r w:rsidR="00733BAB" w:rsidRPr="00090CDE">
        <w:rPr>
          <w:sz w:val="28"/>
          <w:szCs w:val="28"/>
        </w:rPr>
        <w:t xml:space="preserve"> pēc savas iniciatīvas, kā arī citu personu vai institūciju sniegtās informācijas par ģimeni</w:t>
      </w:r>
      <w:r w:rsidR="003772DB" w:rsidRPr="00090CDE">
        <w:rPr>
          <w:sz w:val="28"/>
          <w:szCs w:val="28"/>
        </w:rPr>
        <w:t>,</w:t>
      </w:r>
      <w:r w:rsidR="00733BAB" w:rsidRPr="00090CDE">
        <w:rPr>
          <w:sz w:val="28"/>
          <w:szCs w:val="28"/>
        </w:rPr>
        <w:t xml:space="preserve"> izvērtē bērna tiesību nodrošinājumu ģimenē (arī aizbildņa ģimenē un audžuģimenē), konstatē augstus riskus, kas liecina par nepietiekamu bērna attīstības un audzināšanas nodrošinājumu, bet nepastāv normatīvajos aktos noteiktie </w:t>
      </w:r>
      <w:r w:rsidR="00387ABD" w:rsidRPr="00090CDE">
        <w:rPr>
          <w:sz w:val="28"/>
          <w:szCs w:val="28"/>
        </w:rPr>
        <w:t xml:space="preserve">apstākļi, lai pieņemtu lēmumu par bērna šķiršanu no ģimenes. </w:t>
      </w:r>
      <w:r w:rsidR="00230462" w:rsidRPr="00090CDE">
        <w:rPr>
          <w:sz w:val="28"/>
          <w:szCs w:val="28"/>
        </w:rPr>
        <w:t>Šādos gadījumos bāriņtiesa informē sociālo dienestu par ģimenēm, kurām ne</w:t>
      </w:r>
      <w:r w:rsidR="00563621" w:rsidRPr="00090CDE">
        <w:rPr>
          <w:sz w:val="28"/>
          <w:szCs w:val="28"/>
        </w:rPr>
        <w:t xml:space="preserve">pieciešama palīdzība, un </w:t>
      </w:r>
      <w:r w:rsidR="00230462" w:rsidRPr="00090CDE">
        <w:rPr>
          <w:sz w:val="28"/>
          <w:szCs w:val="28"/>
        </w:rPr>
        <w:t xml:space="preserve">lūdz veikt </w:t>
      </w:r>
      <w:r w:rsidR="000831EA" w:rsidRPr="00090CDE">
        <w:rPr>
          <w:sz w:val="28"/>
          <w:szCs w:val="28"/>
        </w:rPr>
        <w:t>psiho</w:t>
      </w:r>
      <w:r w:rsidR="00230462" w:rsidRPr="00090CDE">
        <w:rPr>
          <w:sz w:val="28"/>
          <w:szCs w:val="28"/>
        </w:rPr>
        <w:t>s</w:t>
      </w:r>
      <w:r w:rsidR="006F2D77" w:rsidRPr="00090CDE">
        <w:rPr>
          <w:sz w:val="28"/>
          <w:szCs w:val="28"/>
        </w:rPr>
        <w:t>ociālo darbu ar ģimeni</w:t>
      </w:r>
      <w:r w:rsidR="00230462" w:rsidRPr="00090CDE">
        <w:rPr>
          <w:sz w:val="28"/>
          <w:szCs w:val="28"/>
        </w:rPr>
        <w:t xml:space="preserve">. </w:t>
      </w:r>
      <w:r w:rsidR="005C0B42" w:rsidRPr="00090CDE">
        <w:rPr>
          <w:sz w:val="28"/>
          <w:szCs w:val="28"/>
        </w:rPr>
        <w:t>G</w:t>
      </w:r>
      <w:r w:rsidR="00CE2155" w:rsidRPr="00090CDE">
        <w:rPr>
          <w:sz w:val="28"/>
          <w:szCs w:val="28"/>
        </w:rPr>
        <w:t xml:space="preserve">adījumos, kad </w:t>
      </w:r>
      <w:r w:rsidR="00CE2155" w:rsidRPr="00090CDE">
        <w:rPr>
          <w:bCs/>
          <w:sz w:val="28"/>
          <w:szCs w:val="28"/>
        </w:rPr>
        <w:t xml:space="preserve">ģimene neatzīst esošo krīzes situāciju un ģimenē pastāvošās problēmas, kā arī nepiekrīt sadarboties ar lietā iesaistītajām institūcijām </w:t>
      </w:r>
      <w:r w:rsidR="00CE2155" w:rsidRPr="00090CDE">
        <w:rPr>
          <w:bCs/>
          <w:sz w:val="28"/>
          <w:szCs w:val="28"/>
        </w:rPr>
        <w:lastRenderedPageBreak/>
        <w:t>vai, neskatoties uz pašvaldības sniegto atbalstu, situācija ģimenē nav uzlabojusies, bāriņtiesai jāizvērtē bērna turpm</w:t>
      </w:r>
      <w:r w:rsidR="003772DB" w:rsidRPr="00090CDE">
        <w:rPr>
          <w:bCs/>
          <w:sz w:val="28"/>
          <w:szCs w:val="28"/>
        </w:rPr>
        <w:t>ākās atrašanās ģimenē atbilstība</w:t>
      </w:r>
      <w:r w:rsidR="00CE2155" w:rsidRPr="00090CDE">
        <w:rPr>
          <w:bCs/>
          <w:sz w:val="28"/>
          <w:szCs w:val="28"/>
        </w:rPr>
        <w:t xml:space="preserve"> bērna vislabākajām interesēm.</w:t>
      </w:r>
    </w:p>
    <w:p w:rsidR="00A21603" w:rsidRPr="00090CDE" w:rsidRDefault="00782B0B" w:rsidP="00393E6F">
      <w:pPr>
        <w:pStyle w:val="NormalWeb"/>
        <w:spacing w:before="0" w:beforeAutospacing="0" w:after="0" w:afterAutospacing="0"/>
        <w:ind w:firstLine="709"/>
        <w:jc w:val="right"/>
        <w:rPr>
          <w:b/>
          <w:sz w:val="26"/>
          <w:szCs w:val="26"/>
        </w:rPr>
      </w:pPr>
      <w:r w:rsidRPr="00090CDE">
        <w:rPr>
          <w:b/>
          <w:sz w:val="26"/>
          <w:szCs w:val="26"/>
        </w:rPr>
        <w:t>1.diagramma</w:t>
      </w:r>
    </w:p>
    <w:p w:rsidR="00393E6F" w:rsidRPr="00090CDE" w:rsidRDefault="00393E6F" w:rsidP="00393E6F">
      <w:pPr>
        <w:pStyle w:val="NormalWeb"/>
        <w:spacing w:before="0" w:beforeAutospacing="0" w:after="0" w:afterAutospacing="0"/>
        <w:ind w:firstLine="709"/>
        <w:jc w:val="right"/>
        <w:rPr>
          <w:b/>
          <w:sz w:val="26"/>
          <w:szCs w:val="26"/>
        </w:rPr>
      </w:pPr>
    </w:p>
    <w:p w:rsidR="00A21603" w:rsidRPr="00090CDE" w:rsidRDefault="00A21603" w:rsidP="00393E6F">
      <w:pPr>
        <w:pStyle w:val="NormalWeb"/>
        <w:spacing w:before="0" w:beforeAutospacing="0" w:after="0" w:afterAutospacing="0"/>
        <w:ind w:firstLine="709"/>
        <w:jc w:val="center"/>
        <w:rPr>
          <w:b/>
          <w:sz w:val="26"/>
          <w:szCs w:val="26"/>
        </w:rPr>
      </w:pPr>
      <w:r w:rsidRPr="00090CDE">
        <w:rPr>
          <w:noProof/>
          <w:lang w:val="en-GB" w:eastAsia="en-GB"/>
        </w:rPr>
        <w:drawing>
          <wp:inline distT="0" distB="0" distL="0" distR="0" wp14:anchorId="6B3568F1" wp14:editId="7B07D7BD">
            <wp:extent cx="5019675" cy="2847975"/>
            <wp:effectExtent l="0" t="0" r="9525"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A5F8D" w:rsidRPr="00090CDE" w:rsidRDefault="008A5F8D" w:rsidP="00993B0C">
      <w:pPr>
        <w:pStyle w:val="Default"/>
        <w:jc w:val="both"/>
        <w:rPr>
          <w:color w:val="auto"/>
          <w:sz w:val="28"/>
          <w:szCs w:val="28"/>
        </w:rPr>
      </w:pPr>
    </w:p>
    <w:p w:rsidR="00393E6F" w:rsidRPr="00090CDE" w:rsidRDefault="00F1174A" w:rsidP="008A2181">
      <w:pPr>
        <w:pStyle w:val="Default"/>
        <w:ind w:firstLine="720"/>
        <w:jc w:val="both"/>
        <w:rPr>
          <w:rFonts w:eastAsia="Times New Roman"/>
          <w:color w:val="auto"/>
          <w:sz w:val="28"/>
          <w:szCs w:val="28"/>
          <w:lang w:eastAsia="lv-LV"/>
        </w:rPr>
      </w:pPr>
      <w:r w:rsidRPr="00090CDE">
        <w:rPr>
          <w:rFonts w:eastAsia="Times New Roman"/>
          <w:color w:val="auto"/>
          <w:sz w:val="28"/>
          <w:szCs w:val="28"/>
          <w:lang w:eastAsia="lv-LV"/>
        </w:rPr>
        <w:t xml:space="preserve">Analizējot </w:t>
      </w:r>
      <w:r w:rsidR="00A56751" w:rsidRPr="00090CDE">
        <w:rPr>
          <w:rFonts w:eastAsia="Times New Roman"/>
          <w:color w:val="auto"/>
          <w:sz w:val="28"/>
          <w:szCs w:val="28"/>
          <w:lang w:eastAsia="lv-LV"/>
        </w:rPr>
        <w:t>bāriņtiesu pārskatos fiksēto statistisko infor</w:t>
      </w:r>
      <w:r w:rsidR="00483D0A" w:rsidRPr="00090CDE">
        <w:rPr>
          <w:rFonts w:eastAsia="Times New Roman"/>
          <w:color w:val="auto"/>
          <w:sz w:val="28"/>
          <w:szCs w:val="28"/>
          <w:lang w:eastAsia="lv-LV"/>
        </w:rPr>
        <w:t xml:space="preserve">māciju par laika periodu no 2012.gada līdz </w:t>
      </w:r>
      <w:r w:rsidR="00A56751" w:rsidRPr="00090CDE">
        <w:rPr>
          <w:rFonts w:eastAsia="Times New Roman"/>
          <w:color w:val="auto"/>
          <w:sz w:val="28"/>
          <w:szCs w:val="28"/>
          <w:lang w:eastAsia="lv-LV"/>
        </w:rPr>
        <w:t xml:space="preserve">2015.gadam, konstatēts, ka katru gadu samazinās </w:t>
      </w:r>
      <w:r w:rsidR="00A56751" w:rsidRPr="00090CDE">
        <w:rPr>
          <w:color w:val="auto"/>
          <w:sz w:val="28"/>
          <w:szCs w:val="28"/>
        </w:rPr>
        <w:t xml:space="preserve">to ģimeņu skaits, kurās konstatēts nepietiekams bērna attīstības un audzināšanas nodrošinājums, un par kurām bāriņtiesas savas kompetences ietvaros sniegušas informāciju pašvaldības sociālajiem dienestiem, lūdzot veikt sociālo darbu ar ģimenēm un sniegt nepieciešamo palīdzību ģimeņu situācijas uzlabošanai. </w:t>
      </w:r>
      <w:r w:rsidR="008A5F8D" w:rsidRPr="00090CDE">
        <w:rPr>
          <w:color w:val="auto"/>
          <w:sz w:val="28"/>
          <w:szCs w:val="28"/>
        </w:rPr>
        <w:t xml:space="preserve">Tāpat attiecīgi konstatējams arī šādās ģimenēs esošo bērnu skaita samazinājums. Atbilstoši 1.diagrammā atspoguļotajiem datiem, </w:t>
      </w:r>
      <w:r w:rsidR="000457A0" w:rsidRPr="00090CDE">
        <w:rPr>
          <w:color w:val="auto"/>
          <w:sz w:val="28"/>
          <w:szCs w:val="28"/>
        </w:rPr>
        <w:t xml:space="preserve">redzams, ka 2014.gadā sociālajiem dienestiem attiecīgā informācija sniegta par 1743 ģimenēm, t.i. par 129 ģimenēm mazāk nekā 2013.gadā, un par 3074 bērniem (2013.gadā ziņas sniegtas par 3238 bērniem). Savukārt 2015.gadā ziņas sniegtas par 1641 šādu ģimeni, kurai nepieciešams pašvaldības sniegtais atbalsts un </w:t>
      </w:r>
      <w:r w:rsidR="00993B0C" w:rsidRPr="00090CDE">
        <w:rPr>
          <w:color w:val="auto"/>
          <w:sz w:val="28"/>
          <w:szCs w:val="28"/>
        </w:rPr>
        <w:t>sociālās palīdzības, kā arī sociālo pakalpojum</w:t>
      </w:r>
      <w:r w:rsidR="00AB03AE" w:rsidRPr="00090CDE">
        <w:rPr>
          <w:color w:val="auto"/>
          <w:sz w:val="28"/>
          <w:szCs w:val="28"/>
        </w:rPr>
        <w:t>u saņemšana (t.i. par 102 ģimenē</w:t>
      </w:r>
      <w:r w:rsidR="00993B0C" w:rsidRPr="00090CDE">
        <w:rPr>
          <w:color w:val="auto"/>
          <w:sz w:val="28"/>
          <w:szCs w:val="28"/>
        </w:rPr>
        <w:t xml:space="preserve">m mazāk nekā iepriekšējā gadā). Salīdzinot ar iepriekšējo gadu, 2015.gadā informācija sniegta </w:t>
      </w:r>
      <w:r w:rsidR="008D0555" w:rsidRPr="00090CDE">
        <w:rPr>
          <w:rFonts w:eastAsia="Times New Roman"/>
          <w:color w:val="auto"/>
          <w:sz w:val="28"/>
          <w:szCs w:val="28"/>
          <w:lang w:eastAsia="lv-LV"/>
        </w:rPr>
        <w:t>par 165 bērniem mazāk, proti, fiksēti dati par 2909 bērniem.</w:t>
      </w:r>
    </w:p>
    <w:p w:rsidR="00882DFE" w:rsidRPr="00090CDE" w:rsidRDefault="008A2181" w:rsidP="00882DFE">
      <w:pPr>
        <w:pStyle w:val="Heading1"/>
        <w:rPr>
          <w:rFonts w:eastAsia="Times New Roman"/>
          <w:sz w:val="32"/>
          <w:lang w:eastAsia="lv-LV"/>
        </w:rPr>
      </w:pPr>
      <w:bookmarkStart w:id="1" w:name="_Toc455138979"/>
      <w:r w:rsidRPr="00090CDE">
        <w:rPr>
          <w:rFonts w:eastAsia="Times New Roman"/>
          <w:sz w:val="32"/>
          <w:lang w:eastAsia="lv-LV"/>
        </w:rPr>
        <w:t>2</w:t>
      </w:r>
      <w:r w:rsidR="00882DFE" w:rsidRPr="00090CDE">
        <w:rPr>
          <w:rFonts w:eastAsia="Times New Roman"/>
          <w:sz w:val="32"/>
          <w:lang w:eastAsia="lv-LV"/>
        </w:rPr>
        <w:t>.</w:t>
      </w:r>
      <w:r w:rsidR="00961C45" w:rsidRPr="00090CDE">
        <w:rPr>
          <w:rFonts w:eastAsia="Times New Roman"/>
          <w:sz w:val="32"/>
          <w:lang w:eastAsia="lv-LV"/>
        </w:rPr>
        <w:t>Pārskats par bērna šķiršanu no ģimenes</w:t>
      </w:r>
      <w:r w:rsidR="0082116F" w:rsidRPr="00090CDE">
        <w:rPr>
          <w:rFonts w:eastAsia="Times New Roman"/>
          <w:sz w:val="32"/>
          <w:lang w:eastAsia="lv-LV"/>
        </w:rPr>
        <w:t xml:space="preserve"> un atgriešanu ģimenē</w:t>
      </w:r>
      <w:bookmarkEnd w:id="1"/>
    </w:p>
    <w:p w:rsidR="00A556DE" w:rsidRPr="00090CDE" w:rsidRDefault="00A556DE" w:rsidP="00A556DE">
      <w:pPr>
        <w:pStyle w:val="Default"/>
        <w:ind w:firstLine="720"/>
        <w:jc w:val="both"/>
        <w:rPr>
          <w:color w:val="auto"/>
          <w:sz w:val="10"/>
          <w:szCs w:val="10"/>
        </w:rPr>
      </w:pPr>
    </w:p>
    <w:p w:rsidR="007450E9" w:rsidRPr="00090CDE" w:rsidRDefault="008A2181" w:rsidP="004A431D">
      <w:pPr>
        <w:pStyle w:val="Heading2"/>
      </w:pPr>
      <w:bookmarkStart w:id="2" w:name="_Toc455138980"/>
      <w:r w:rsidRPr="00090CDE">
        <w:t>2</w:t>
      </w:r>
      <w:r w:rsidR="00882DFE" w:rsidRPr="00090CDE">
        <w:t>.1</w:t>
      </w:r>
      <w:r w:rsidR="008552A0" w:rsidRPr="00090CDE">
        <w:t>.</w:t>
      </w:r>
      <w:r w:rsidR="008B192A" w:rsidRPr="00090CDE">
        <w:t>Bērna aiz</w:t>
      </w:r>
      <w:r w:rsidR="00542F66" w:rsidRPr="00090CDE">
        <w:t>gādības tiesību pārtraukšana.</w:t>
      </w:r>
      <w:bookmarkEnd w:id="2"/>
    </w:p>
    <w:p w:rsidR="0025286E" w:rsidRPr="00090CDE" w:rsidRDefault="00D17292" w:rsidP="00D17292">
      <w:pPr>
        <w:tabs>
          <w:tab w:val="left" w:pos="1482"/>
          <w:tab w:val="left" w:pos="8625"/>
        </w:tabs>
        <w:spacing w:after="0" w:line="240" w:lineRule="auto"/>
        <w:jc w:val="left"/>
        <w:rPr>
          <w:rFonts w:eastAsia="Times New Roman" w:cs="Times New Roman"/>
          <w:szCs w:val="24"/>
          <w:lang w:eastAsia="lv-LV"/>
        </w:rPr>
      </w:pPr>
      <w:r w:rsidRPr="00090CDE">
        <w:rPr>
          <w:rFonts w:eastAsia="Times New Roman" w:cs="Times New Roman"/>
          <w:szCs w:val="24"/>
          <w:lang w:eastAsia="lv-LV"/>
        </w:rPr>
        <w:tab/>
      </w:r>
      <w:r w:rsidRPr="00090CDE">
        <w:rPr>
          <w:rFonts w:eastAsia="Times New Roman" w:cs="Times New Roman"/>
          <w:szCs w:val="24"/>
          <w:lang w:eastAsia="lv-LV"/>
        </w:rPr>
        <w:tab/>
      </w:r>
    </w:p>
    <w:p w:rsidR="00514E0E" w:rsidRPr="00090CDE" w:rsidRDefault="00357C91" w:rsidP="00514E0E">
      <w:pPr>
        <w:spacing w:after="0"/>
        <w:ind w:firstLine="720"/>
        <w:rPr>
          <w:rFonts w:eastAsia="Times New Roman" w:cs="Times New Roman"/>
          <w:sz w:val="28"/>
          <w:szCs w:val="28"/>
          <w:lang w:eastAsia="lv-LV"/>
        </w:rPr>
      </w:pPr>
      <w:r w:rsidRPr="00090CDE">
        <w:rPr>
          <w:rFonts w:eastAsia="Times New Roman" w:cs="Times New Roman"/>
          <w:sz w:val="28"/>
          <w:szCs w:val="28"/>
          <w:lang w:eastAsia="lv-LV"/>
        </w:rPr>
        <w:t>Atbilstoši Bērnu tiesību aizsardzības likuma 24.panta trešajā daļā  noteiktajam, vecāki ir bērna dabiskie aizbildņi (likumiskie pārstāvji). Viņu pienākums ir aizstāvēt bērna tiesības un a</w:t>
      </w:r>
      <w:r w:rsidR="00A70354" w:rsidRPr="00090CDE">
        <w:rPr>
          <w:rFonts w:eastAsia="Times New Roman" w:cs="Times New Roman"/>
          <w:sz w:val="28"/>
          <w:szCs w:val="28"/>
          <w:lang w:eastAsia="lv-LV"/>
        </w:rPr>
        <w:t xml:space="preserve">r likumu aizsargātās intereses. </w:t>
      </w:r>
      <w:r w:rsidR="00514E0E" w:rsidRPr="00090CDE">
        <w:rPr>
          <w:rFonts w:eastAsia="Times New Roman" w:cs="Times New Roman"/>
          <w:sz w:val="28"/>
          <w:szCs w:val="28"/>
          <w:lang w:eastAsia="lv-LV"/>
        </w:rPr>
        <w:t xml:space="preserve">Atbilstoši Latvijas Republikas Civillikuma (turpmāk – Civillikums) noteikumiem vecāku pienākums ir rūpēties par </w:t>
      </w:r>
      <w:r w:rsidR="00514E0E" w:rsidRPr="00090CDE">
        <w:rPr>
          <w:rFonts w:eastAsia="Times New Roman" w:cs="Times New Roman"/>
          <w:sz w:val="28"/>
          <w:szCs w:val="28"/>
          <w:lang w:eastAsia="lv-LV"/>
        </w:rPr>
        <w:lastRenderedPageBreak/>
        <w:t xml:space="preserve">bērnu un viņa mantu un pārstāvēt bērnu viņa personiskajās un mantiskajās attiecībās. Civillikuma </w:t>
      </w:r>
      <w:r w:rsidR="003E4710" w:rsidRPr="00090CDE">
        <w:rPr>
          <w:rFonts w:eastAsia="Times New Roman" w:cs="Times New Roman"/>
          <w:sz w:val="28"/>
          <w:szCs w:val="28"/>
          <w:lang w:eastAsia="lv-LV"/>
        </w:rPr>
        <w:t xml:space="preserve">177.pants paredz, ka </w:t>
      </w:r>
      <w:r w:rsidR="00514E0E" w:rsidRPr="00090CDE">
        <w:rPr>
          <w:rFonts w:eastAsia="Times New Roman" w:cs="Times New Roman"/>
          <w:sz w:val="28"/>
          <w:szCs w:val="28"/>
          <w:lang w:eastAsia="lv-LV"/>
        </w:rPr>
        <w:t xml:space="preserve">bērns </w:t>
      </w:r>
      <w:r w:rsidR="003E4710" w:rsidRPr="00090CDE">
        <w:rPr>
          <w:rFonts w:eastAsia="Times New Roman" w:cs="Times New Roman"/>
          <w:sz w:val="28"/>
          <w:szCs w:val="28"/>
          <w:lang w:eastAsia="lv-LV"/>
        </w:rPr>
        <w:t>vecāku aizgādībā</w:t>
      </w:r>
      <w:r w:rsidR="00514E0E" w:rsidRPr="00090CDE">
        <w:rPr>
          <w:rFonts w:eastAsia="Times New Roman" w:cs="Times New Roman"/>
          <w:sz w:val="28"/>
          <w:szCs w:val="28"/>
          <w:lang w:eastAsia="lv-LV"/>
        </w:rPr>
        <w:t xml:space="preserve"> ir līdz pilngadības sasniegšanai. </w:t>
      </w:r>
      <w:r w:rsidR="00EF7DCE" w:rsidRPr="00090CDE">
        <w:rPr>
          <w:rFonts w:eastAsia="Times New Roman" w:cs="Times New Roman"/>
          <w:sz w:val="28"/>
          <w:szCs w:val="28"/>
          <w:lang w:eastAsia="lv-LV"/>
        </w:rPr>
        <w:t xml:space="preserve">Aizgādība ir vecāku tiesības un pienākums rūpēties par bērnu un viņa mantu un pārstāvēt bērnu viņa personiskajās un mantiskajās attiecībās. </w:t>
      </w:r>
    </w:p>
    <w:p w:rsidR="00514E0E" w:rsidRPr="00090CDE" w:rsidRDefault="0082116F" w:rsidP="00514E0E">
      <w:pPr>
        <w:spacing w:after="0"/>
        <w:ind w:firstLine="720"/>
        <w:rPr>
          <w:sz w:val="27"/>
          <w:szCs w:val="27"/>
        </w:rPr>
      </w:pPr>
      <w:r w:rsidRPr="00090CDE">
        <w:rPr>
          <w:sz w:val="27"/>
          <w:szCs w:val="27"/>
        </w:rPr>
        <w:t xml:space="preserve">Rūpes par bērnu nozīmē viņa aprūpi, uzraudzību un tiesības noteikt viņa dzīvesvietu. </w:t>
      </w:r>
    </w:p>
    <w:p w:rsidR="00514E0E" w:rsidRPr="00090CDE" w:rsidRDefault="0082116F" w:rsidP="00514E0E">
      <w:pPr>
        <w:spacing w:after="0"/>
        <w:ind w:firstLine="720"/>
        <w:rPr>
          <w:sz w:val="28"/>
          <w:szCs w:val="28"/>
        </w:rPr>
      </w:pPr>
      <w:r w:rsidRPr="00090CDE">
        <w:rPr>
          <w:sz w:val="27"/>
          <w:szCs w:val="27"/>
        </w:rPr>
        <w:t>Bērna aprūpe nozīmē viņa uzturēšanu, t.i., ēdiena, apģērba, mājokļa un veselības aprūpes nodrošināšanu, bērna kopšanu un viņa izglītošanu un audzināšanu</w:t>
      </w:r>
      <w:r w:rsidRPr="00090CDE">
        <w:rPr>
          <w:sz w:val="28"/>
          <w:szCs w:val="28"/>
        </w:rPr>
        <w:t xml:space="preserve"> </w:t>
      </w:r>
      <w:r w:rsidRPr="00090CDE">
        <w:rPr>
          <w:szCs w:val="24"/>
        </w:rPr>
        <w:t>(garīgās un fiziskās attīstības nodrošināšana, pēc iespējas ievērojot viņa individualitāti, spējas un intereses un sagatavojot bērnu sabiedriski derīgam darbam)</w:t>
      </w:r>
      <w:r w:rsidRPr="00090CDE">
        <w:rPr>
          <w:sz w:val="28"/>
          <w:szCs w:val="28"/>
        </w:rPr>
        <w:t xml:space="preserve">. </w:t>
      </w:r>
    </w:p>
    <w:p w:rsidR="0082116F" w:rsidRPr="00090CDE" w:rsidRDefault="0082116F" w:rsidP="00514E0E">
      <w:pPr>
        <w:spacing w:after="0"/>
        <w:ind w:firstLine="720"/>
        <w:rPr>
          <w:rFonts w:eastAsia="Times New Roman" w:cs="Times New Roman"/>
          <w:sz w:val="28"/>
          <w:szCs w:val="28"/>
          <w:lang w:eastAsia="lv-LV"/>
        </w:rPr>
      </w:pPr>
      <w:r w:rsidRPr="00090CDE">
        <w:rPr>
          <w:sz w:val="27"/>
          <w:szCs w:val="27"/>
        </w:rPr>
        <w:t xml:space="preserve">Bērna uzraudzība nozīmē rūpes par bērna paša drošību un trešās personas apdraudējuma novēršanu. </w:t>
      </w:r>
    </w:p>
    <w:p w:rsidR="003D770A" w:rsidRPr="00090CDE" w:rsidRDefault="009A1651" w:rsidP="00990421">
      <w:pPr>
        <w:tabs>
          <w:tab w:val="left" w:pos="1482"/>
        </w:tabs>
        <w:spacing w:after="0" w:line="240" w:lineRule="auto"/>
        <w:ind w:firstLine="839"/>
        <w:rPr>
          <w:rStyle w:val="Strong"/>
          <w:b w:val="0"/>
          <w:sz w:val="28"/>
          <w:szCs w:val="28"/>
        </w:rPr>
      </w:pPr>
      <w:r w:rsidRPr="00090CDE">
        <w:rPr>
          <w:rStyle w:val="Strong"/>
          <w:b w:val="0"/>
          <w:sz w:val="28"/>
          <w:szCs w:val="28"/>
        </w:rPr>
        <w:t>Bērna aizgādības tiesības vecākam tiek pārtrauktas, ja bāriņtiesa savas kompetences ietvaros konstatē kādu no</w:t>
      </w:r>
      <w:r w:rsidR="003D770A" w:rsidRPr="00090CDE">
        <w:rPr>
          <w:rStyle w:val="Strong"/>
          <w:b w:val="0"/>
          <w:sz w:val="28"/>
          <w:szCs w:val="28"/>
        </w:rPr>
        <w:t xml:space="preserve"> Civillikuma 203.pantā un Bāriņtiesu likuma</w:t>
      </w:r>
      <w:r w:rsidRPr="00090CDE">
        <w:rPr>
          <w:rStyle w:val="Strong"/>
          <w:b w:val="0"/>
          <w:sz w:val="28"/>
          <w:szCs w:val="28"/>
        </w:rPr>
        <w:t xml:space="preserve"> 22.pantā norādītajiem apstākļiem un</w:t>
      </w:r>
      <w:r w:rsidR="00AF27CE" w:rsidRPr="00090CDE">
        <w:rPr>
          <w:rStyle w:val="Strong"/>
          <w:b w:val="0"/>
          <w:sz w:val="28"/>
          <w:szCs w:val="28"/>
        </w:rPr>
        <w:t xml:space="preserve"> atzīst, ka:</w:t>
      </w:r>
    </w:p>
    <w:p w:rsidR="00AF27CE" w:rsidRPr="00090CDE" w:rsidRDefault="0066280B" w:rsidP="005958D3">
      <w:pPr>
        <w:pStyle w:val="ListParagraph"/>
        <w:numPr>
          <w:ilvl w:val="0"/>
          <w:numId w:val="7"/>
        </w:numPr>
        <w:tabs>
          <w:tab w:val="left" w:pos="1482"/>
        </w:tabs>
        <w:spacing w:after="0" w:line="240" w:lineRule="auto"/>
        <w:rPr>
          <w:bCs/>
          <w:szCs w:val="24"/>
        </w:rPr>
      </w:pPr>
      <w:r w:rsidRPr="00090CDE">
        <w:rPr>
          <w:rStyle w:val="Strong"/>
          <w:b w:val="0"/>
          <w:szCs w:val="24"/>
        </w:rPr>
        <w:t>i</w:t>
      </w:r>
      <w:r w:rsidR="00AF27CE" w:rsidRPr="00090CDE">
        <w:rPr>
          <w:rStyle w:val="Strong"/>
          <w:b w:val="0"/>
          <w:szCs w:val="24"/>
        </w:rPr>
        <w:t>r faktiski šķēršļi</w:t>
      </w:r>
      <w:r w:rsidR="00AF27CE" w:rsidRPr="00090CDE">
        <w:rPr>
          <w:rFonts w:cs="Times New Roman"/>
          <w:szCs w:val="24"/>
        </w:rPr>
        <w:t>, kas liedz vecākam iespēju aprūpēt bērnu</w:t>
      </w:r>
      <w:r w:rsidR="005958D3" w:rsidRPr="00090CDE">
        <w:rPr>
          <w:rFonts w:cs="Times New Roman"/>
          <w:szCs w:val="24"/>
        </w:rPr>
        <w:t xml:space="preserve"> (par faktiskajiem šķēršļiem uzskatāmi, piemēram, šādi apstākļi: soda izciešana, kas saistīta ar brīvības atņemšanu vecākam; vecāka veselības stāvoklis (gadījumā, kad vecāks pats atsakās lūgt bērnam ārpusģimenes aprūpi sava veselības stāvokļa dēļ) u.c.) </w:t>
      </w:r>
      <w:r w:rsidR="00AF27CE" w:rsidRPr="00090CDE">
        <w:rPr>
          <w:rFonts w:cs="Times New Roman"/>
          <w:szCs w:val="24"/>
        </w:rPr>
        <w:t xml:space="preserve">; </w:t>
      </w:r>
    </w:p>
    <w:p w:rsidR="00AF27CE" w:rsidRPr="00090CDE" w:rsidRDefault="00AF27CE" w:rsidP="00990421">
      <w:pPr>
        <w:pStyle w:val="ListParagraph"/>
        <w:numPr>
          <w:ilvl w:val="0"/>
          <w:numId w:val="7"/>
        </w:numPr>
        <w:tabs>
          <w:tab w:val="left" w:pos="1482"/>
        </w:tabs>
        <w:spacing w:after="0" w:line="240" w:lineRule="auto"/>
        <w:rPr>
          <w:bCs/>
          <w:szCs w:val="24"/>
        </w:rPr>
      </w:pPr>
      <w:r w:rsidRPr="00090CDE">
        <w:rPr>
          <w:rFonts w:cs="Times New Roman"/>
          <w:szCs w:val="24"/>
        </w:rPr>
        <w:t xml:space="preserve">bērns atrodas veselībai vai dzīvībai bīstamos apstākļos vecāka vainas dēļ (vecāku apzinātas rīcības vai nolaidības dēļ); </w:t>
      </w:r>
    </w:p>
    <w:p w:rsidR="00AF27CE" w:rsidRPr="00090CDE" w:rsidRDefault="00AF27CE" w:rsidP="00990421">
      <w:pPr>
        <w:pStyle w:val="ListParagraph"/>
        <w:numPr>
          <w:ilvl w:val="0"/>
          <w:numId w:val="7"/>
        </w:numPr>
        <w:tabs>
          <w:tab w:val="left" w:pos="1482"/>
        </w:tabs>
        <w:spacing w:after="0" w:line="240" w:lineRule="auto"/>
        <w:rPr>
          <w:bCs/>
          <w:szCs w:val="24"/>
        </w:rPr>
      </w:pPr>
      <w:r w:rsidRPr="00090CDE">
        <w:rPr>
          <w:rFonts w:cs="Times New Roman"/>
          <w:szCs w:val="24"/>
        </w:rPr>
        <w:t xml:space="preserve">vecāks ļaunprātīgi izmanto savas tiesības vai nenodrošina bērna aprūpi un uzraudzību; </w:t>
      </w:r>
    </w:p>
    <w:p w:rsidR="00AF27CE" w:rsidRPr="00090CDE" w:rsidRDefault="00AF27CE" w:rsidP="00990421">
      <w:pPr>
        <w:pStyle w:val="ListParagraph"/>
        <w:numPr>
          <w:ilvl w:val="0"/>
          <w:numId w:val="7"/>
        </w:numPr>
        <w:tabs>
          <w:tab w:val="left" w:pos="1482"/>
        </w:tabs>
        <w:spacing w:after="0" w:line="240" w:lineRule="auto"/>
        <w:rPr>
          <w:bCs/>
          <w:szCs w:val="24"/>
        </w:rPr>
      </w:pPr>
      <w:r w:rsidRPr="00090CDE">
        <w:rPr>
          <w:rFonts w:cs="Times New Roman"/>
          <w:szCs w:val="24"/>
        </w:rPr>
        <w:t>vecāks ir de</w:t>
      </w:r>
      <w:r w:rsidR="00D936CB" w:rsidRPr="00090CDE">
        <w:rPr>
          <w:rFonts w:cs="Times New Roman"/>
          <w:szCs w:val="24"/>
        </w:rPr>
        <w:t>vis piekrišanu bērna adopcijai, izņemot gadījumu, kad viņš kā laulātais ir devis piekrišanu tam, ka bērnu adoptē otrs laulātais;</w:t>
      </w:r>
    </w:p>
    <w:p w:rsidR="00EE6991" w:rsidRPr="00090CDE" w:rsidRDefault="00AF27CE" w:rsidP="00EE6991">
      <w:pPr>
        <w:pStyle w:val="ListParagraph"/>
        <w:numPr>
          <w:ilvl w:val="0"/>
          <w:numId w:val="7"/>
        </w:numPr>
        <w:tabs>
          <w:tab w:val="left" w:pos="1482"/>
        </w:tabs>
        <w:spacing w:after="0" w:line="240" w:lineRule="auto"/>
        <w:rPr>
          <w:bCs/>
          <w:szCs w:val="24"/>
        </w:rPr>
      </w:pPr>
      <w:r w:rsidRPr="00090CDE">
        <w:rPr>
          <w:rFonts w:cs="Times New Roman"/>
          <w:szCs w:val="24"/>
        </w:rPr>
        <w:t xml:space="preserve">konstatēta vecāka vardarbība pret bērnu vai ir pamatotas aizdomas par vecāka vardarbību pret bērnu. </w:t>
      </w:r>
    </w:p>
    <w:p w:rsidR="00EE6991" w:rsidRPr="00090CDE" w:rsidRDefault="00EE6991" w:rsidP="00EE6991">
      <w:pPr>
        <w:tabs>
          <w:tab w:val="left" w:pos="1482"/>
        </w:tabs>
        <w:spacing w:after="0" w:line="240" w:lineRule="auto"/>
        <w:ind w:firstLine="839"/>
        <w:rPr>
          <w:bCs/>
          <w:sz w:val="28"/>
          <w:szCs w:val="28"/>
        </w:rPr>
      </w:pPr>
      <w:r w:rsidRPr="00090CDE">
        <w:rPr>
          <w:bCs/>
          <w:sz w:val="28"/>
          <w:szCs w:val="28"/>
        </w:rPr>
        <w:t>Atbilstoši Civillikuma 203.panta trešajā daļā noteiktajam, aizgādības tiesības vecākam var tikt pārtrauktas arī gadījumos, kad vecāks ļaunprātīgi izmanto savas tiesības, nepildot tiesas nolēmumu lietā, kas izriet no aizgādības vai saskarsmes tiesībām, ja tas nodara būtisku kaitējumu bērnam un, ja nepastāv otram vecākam šķēršļi īstenot bērna aprūpi.</w:t>
      </w:r>
    </w:p>
    <w:p w:rsidR="00EE6991" w:rsidRPr="00090CDE" w:rsidRDefault="005958D3" w:rsidP="00621A4A">
      <w:pPr>
        <w:tabs>
          <w:tab w:val="left" w:pos="1482"/>
        </w:tabs>
        <w:spacing w:after="0" w:line="240" w:lineRule="auto"/>
        <w:ind w:firstLine="839"/>
        <w:rPr>
          <w:bCs/>
          <w:sz w:val="28"/>
          <w:szCs w:val="28"/>
        </w:rPr>
      </w:pPr>
      <w:r w:rsidRPr="00090CDE">
        <w:rPr>
          <w:rFonts w:eastAsia="Times New Roman" w:cs="Times New Roman"/>
          <w:sz w:val="28"/>
          <w:szCs w:val="28"/>
          <w:lang w:eastAsia="lv-LV"/>
        </w:rPr>
        <w:t>Ievērojot iepriekš minēto, tikai, pastāvot objektīviem iemesliem,</w:t>
      </w:r>
      <w:r w:rsidRPr="00090CDE">
        <w:rPr>
          <w:rStyle w:val="Strong"/>
          <w:b w:val="0"/>
          <w:sz w:val="28"/>
          <w:szCs w:val="28"/>
        </w:rPr>
        <w:t xml:space="preserve"> </w:t>
      </w:r>
      <w:r w:rsidR="00DF699D" w:rsidRPr="00090CDE">
        <w:rPr>
          <w:rStyle w:val="Strong"/>
          <w:b w:val="0"/>
          <w:sz w:val="28"/>
          <w:szCs w:val="28"/>
        </w:rPr>
        <w:t xml:space="preserve">proti, normatīvajos aktos paredzētajos gadījumos, </w:t>
      </w:r>
      <w:r w:rsidRPr="00090CDE">
        <w:rPr>
          <w:rFonts w:eastAsia="Times New Roman" w:cs="Times New Roman"/>
          <w:sz w:val="28"/>
          <w:szCs w:val="28"/>
          <w:lang w:eastAsia="lv-LV"/>
        </w:rPr>
        <w:t>bērna vislabāko interešu nodrošināšanai ir nepieciešama bērnu šķiršana no bioloģiskās ģimenes.</w:t>
      </w:r>
      <w:r w:rsidR="00DF699D" w:rsidRPr="00090CDE">
        <w:rPr>
          <w:rFonts w:eastAsia="Times New Roman" w:cs="Times New Roman"/>
          <w:sz w:val="28"/>
          <w:szCs w:val="28"/>
          <w:lang w:eastAsia="lv-LV"/>
        </w:rPr>
        <w:t xml:space="preserve"> </w:t>
      </w:r>
      <w:r w:rsidR="0060752F" w:rsidRPr="00090CDE">
        <w:rPr>
          <w:rFonts w:eastAsia="Times New Roman" w:cs="Times New Roman"/>
          <w:sz w:val="28"/>
          <w:szCs w:val="28"/>
          <w:lang w:eastAsia="lv-LV"/>
        </w:rPr>
        <w:t xml:space="preserve">Administratīvā procesa likuma </w:t>
      </w:r>
      <w:r w:rsidR="0060752F" w:rsidRPr="00090CDE">
        <w:rPr>
          <w:sz w:val="28"/>
          <w:szCs w:val="28"/>
        </w:rPr>
        <w:t>59.panta pirmajā daļā noteikts</w:t>
      </w:r>
      <w:r w:rsidR="0060752F" w:rsidRPr="00090CDE">
        <w:rPr>
          <w:rFonts w:eastAsia="Times New Roman" w:cs="Times New Roman"/>
          <w:sz w:val="28"/>
          <w:szCs w:val="28"/>
          <w:lang w:eastAsia="lv-LV"/>
        </w:rPr>
        <w:t>, ka</w:t>
      </w:r>
      <w:r w:rsidR="0060752F" w:rsidRPr="00090CDE">
        <w:rPr>
          <w:sz w:val="28"/>
          <w:szCs w:val="28"/>
        </w:rPr>
        <w:t xml:space="preserve"> </w:t>
      </w:r>
      <w:r w:rsidR="00AB03AE" w:rsidRPr="00090CDE">
        <w:rPr>
          <w:sz w:val="28"/>
          <w:szCs w:val="28"/>
        </w:rPr>
        <w:t>pēc administ</w:t>
      </w:r>
      <w:r w:rsidR="00EE6991" w:rsidRPr="00090CDE">
        <w:rPr>
          <w:sz w:val="28"/>
          <w:szCs w:val="28"/>
        </w:rPr>
        <w:t>r</w:t>
      </w:r>
      <w:r w:rsidR="00AB03AE" w:rsidRPr="00090CDE">
        <w:rPr>
          <w:sz w:val="28"/>
          <w:szCs w:val="28"/>
        </w:rPr>
        <w:t>a</w:t>
      </w:r>
      <w:r w:rsidR="00EE6991" w:rsidRPr="00090CDE">
        <w:rPr>
          <w:sz w:val="28"/>
          <w:szCs w:val="28"/>
        </w:rPr>
        <w:t>tīvās li</w:t>
      </w:r>
      <w:r w:rsidR="00AB03AE" w:rsidRPr="00090CDE">
        <w:rPr>
          <w:sz w:val="28"/>
          <w:szCs w:val="28"/>
        </w:rPr>
        <w:t>etas ierosināšanas iestāde iegū</w:t>
      </w:r>
      <w:r w:rsidR="00EE6991" w:rsidRPr="00090CDE">
        <w:rPr>
          <w:sz w:val="28"/>
          <w:szCs w:val="28"/>
        </w:rPr>
        <w:t>st informāciju, kas saskaņā ar normatīvajiem aktiem ir nepieciešama</w:t>
      </w:r>
      <w:r w:rsidR="0039396E" w:rsidRPr="00090CDE">
        <w:rPr>
          <w:sz w:val="28"/>
          <w:szCs w:val="28"/>
        </w:rPr>
        <w:t xml:space="preserve">, lai pieņemtu attiecīgo lēmumu.  Tādējādi, lai varētu objektīvi izvērtēt ģimenes situāciju un </w:t>
      </w:r>
      <w:r w:rsidR="0039396E" w:rsidRPr="00090CDE">
        <w:rPr>
          <w:rFonts w:eastAsia="Times New Roman" w:cs="Times New Roman"/>
          <w:sz w:val="28"/>
          <w:szCs w:val="28"/>
          <w:lang w:eastAsia="lv-LV"/>
        </w:rPr>
        <w:t>pieņemt bērna interesēm atbilstošāko lēmumu, bāriņtiesai pirms attiecīgā lēmuma pieņemšanas atbilstoši normatīvajos aktos noteiktajām prasībām nepieciešams iegūt vispusīgu informāciju</w:t>
      </w:r>
      <w:r w:rsidR="0039396E" w:rsidRPr="00090CDE">
        <w:rPr>
          <w:sz w:val="28"/>
          <w:szCs w:val="28"/>
        </w:rPr>
        <w:t xml:space="preserve"> izskatāmajā lietā</w:t>
      </w:r>
      <w:r w:rsidR="0039396E" w:rsidRPr="00090CDE">
        <w:rPr>
          <w:rFonts w:eastAsia="Times New Roman" w:cs="Times New Roman"/>
          <w:sz w:val="28"/>
          <w:szCs w:val="28"/>
          <w:lang w:eastAsia="lv-LV"/>
        </w:rPr>
        <w:t xml:space="preserve">, kas nepieciešama, </w:t>
      </w:r>
      <w:r w:rsidR="0039396E" w:rsidRPr="00090CDE">
        <w:rPr>
          <w:sz w:val="28"/>
          <w:szCs w:val="28"/>
        </w:rPr>
        <w:t xml:space="preserve">lai noskaidrotu lietas izvērtēšanai būtiskos apstākļus un varētu </w:t>
      </w:r>
      <w:r w:rsidR="0039396E" w:rsidRPr="00090CDE">
        <w:rPr>
          <w:rFonts w:eastAsia="Times New Roman" w:cs="Times New Roman"/>
          <w:sz w:val="28"/>
          <w:szCs w:val="28"/>
          <w:lang w:eastAsia="lv-LV"/>
        </w:rPr>
        <w:t xml:space="preserve">pilnvērtīgi izvērtēt vecāka spējas veikt bērnu aprūpi, audzināšanu un uzraudzību. Bāriņtiesu likuma 16.pantā paredzētas bāriņtiesas tiesības pieprasīt nepieciešamās ziņas bāriņtiesas kompetencē esošo jautājumu izlemšanai. Ievērojot iepriekš minēto, visos </w:t>
      </w:r>
      <w:r w:rsidR="0039396E" w:rsidRPr="00090CDE">
        <w:rPr>
          <w:sz w:val="28"/>
          <w:szCs w:val="28"/>
        </w:rPr>
        <w:t xml:space="preserve">gadījumos, kad bāriņtiesa pieņem lēmumu par bērna aizgādības tiesību pārtraukšanu vecākam, lietā jābūt </w:t>
      </w:r>
      <w:r w:rsidR="0039396E" w:rsidRPr="00090CDE">
        <w:rPr>
          <w:sz w:val="28"/>
          <w:szCs w:val="28"/>
        </w:rPr>
        <w:lastRenderedPageBreak/>
        <w:t>apkopotiem materiāliem, kas apliecina, ka pastāv kāds no iepriekšminētajiem iemesliem aizgādības tiesību pārtraukšanai.</w:t>
      </w:r>
    </w:p>
    <w:p w:rsidR="004077B7" w:rsidRPr="00090CDE" w:rsidRDefault="00DF699D" w:rsidP="0005334C">
      <w:pPr>
        <w:pStyle w:val="NormalWeb"/>
        <w:spacing w:before="0" w:beforeAutospacing="0" w:after="0" w:afterAutospacing="0"/>
        <w:ind w:firstLine="720"/>
        <w:jc w:val="both"/>
        <w:rPr>
          <w:sz w:val="28"/>
          <w:szCs w:val="28"/>
        </w:rPr>
      </w:pPr>
      <w:r w:rsidRPr="00090CDE">
        <w:rPr>
          <w:sz w:val="28"/>
          <w:szCs w:val="28"/>
        </w:rPr>
        <w:t>Civillikuma 203.panta otrā daļa paredz, ka gadījumos, kad bērna</w:t>
      </w:r>
      <w:r w:rsidR="00E00C4D" w:rsidRPr="00090CDE">
        <w:rPr>
          <w:sz w:val="28"/>
          <w:szCs w:val="28"/>
        </w:rPr>
        <w:t xml:space="preserve"> aizgādības tiesības tiek pārtrauktas</w:t>
      </w:r>
      <w:r w:rsidRPr="00090CDE">
        <w:rPr>
          <w:sz w:val="28"/>
          <w:szCs w:val="28"/>
        </w:rPr>
        <w:t xml:space="preserve"> vienam no vecākiem, aprūpi īsteno otrs vecāks. Tas nozīmē, ka bāriņtiesai šādos gadījumos pirmām kārtām jādara viss iespējamais, lai sameklētu otru vecāku un mudinātu viņu uzņemties</w:t>
      </w:r>
      <w:r w:rsidR="00C566C0" w:rsidRPr="00090CDE">
        <w:rPr>
          <w:sz w:val="28"/>
          <w:szCs w:val="28"/>
        </w:rPr>
        <w:t xml:space="preserve"> rūpes par bērnu, kā arī vienlaikus nepieciešams iegūt vispusīgu informāciju par otra vecāka</w:t>
      </w:r>
      <w:r w:rsidRPr="00090CDE">
        <w:rPr>
          <w:sz w:val="28"/>
          <w:szCs w:val="28"/>
        </w:rPr>
        <w:t xml:space="preserve"> spēj</w:t>
      </w:r>
      <w:r w:rsidR="00C566C0" w:rsidRPr="00090CDE">
        <w:rPr>
          <w:sz w:val="28"/>
          <w:szCs w:val="28"/>
        </w:rPr>
        <w:t>ām</w:t>
      </w:r>
      <w:r w:rsidRPr="00090CDE">
        <w:rPr>
          <w:sz w:val="28"/>
          <w:szCs w:val="28"/>
        </w:rPr>
        <w:t xml:space="preserve"> uzņemties rūpes par bērnu</w:t>
      </w:r>
      <w:r w:rsidR="00C566C0" w:rsidRPr="00090CDE">
        <w:rPr>
          <w:sz w:val="28"/>
          <w:szCs w:val="28"/>
        </w:rPr>
        <w:t>.</w:t>
      </w:r>
      <w:r w:rsidRPr="00090CDE">
        <w:rPr>
          <w:sz w:val="28"/>
          <w:szCs w:val="28"/>
        </w:rPr>
        <w:t xml:space="preserve"> </w:t>
      </w:r>
      <w:r w:rsidR="00C566C0" w:rsidRPr="00090CDE">
        <w:rPr>
          <w:sz w:val="28"/>
          <w:szCs w:val="28"/>
        </w:rPr>
        <w:t xml:space="preserve">Tādējādi tikai tad, ja aizgādības tiesības pārtrauktas abiem vecākiem, bāriņtiesas kompetencē ir pieņemt lēmumu par bērna ārpusģimenes aprūpi. </w:t>
      </w:r>
    </w:p>
    <w:p w:rsidR="0005334C" w:rsidRPr="00090CDE" w:rsidRDefault="0005334C" w:rsidP="0005334C">
      <w:pPr>
        <w:pStyle w:val="NormalWeb"/>
        <w:spacing w:before="0" w:beforeAutospacing="0" w:after="0" w:afterAutospacing="0"/>
        <w:ind w:firstLine="720"/>
        <w:jc w:val="both"/>
        <w:rPr>
          <w:sz w:val="28"/>
          <w:szCs w:val="28"/>
        </w:rPr>
      </w:pPr>
    </w:p>
    <w:p w:rsidR="00A0581C" w:rsidRPr="00090CDE" w:rsidRDefault="00A70354" w:rsidP="0005334C">
      <w:pPr>
        <w:spacing w:after="0" w:line="360" w:lineRule="auto"/>
        <w:jc w:val="center"/>
        <w:rPr>
          <w:rFonts w:eastAsia="Times New Roman" w:cs="Times New Roman"/>
          <w:b/>
          <w:sz w:val="26"/>
          <w:szCs w:val="26"/>
          <w:lang w:eastAsia="lv-LV"/>
        </w:rPr>
      </w:pPr>
      <w:r w:rsidRPr="00090CDE">
        <w:rPr>
          <w:rFonts w:eastAsia="Times New Roman" w:cs="Times New Roman"/>
          <w:b/>
          <w:sz w:val="26"/>
          <w:szCs w:val="26"/>
          <w:lang w:eastAsia="lv-LV"/>
        </w:rPr>
        <w:t xml:space="preserve">                                                                                                                          </w:t>
      </w:r>
      <w:r w:rsidR="0005334C" w:rsidRPr="00090CDE">
        <w:rPr>
          <w:rFonts w:eastAsia="Times New Roman" w:cs="Times New Roman"/>
          <w:b/>
          <w:sz w:val="26"/>
          <w:szCs w:val="26"/>
          <w:lang w:eastAsia="lv-LV"/>
        </w:rPr>
        <w:t>2</w:t>
      </w:r>
      <w:r w:rsidR="0080110A" w:rsidRPr="00090CDE">
        <w:rPr>
          <w:rFonts w:eastAsia="Times New Roman" w:cs="Times New Roman"/>
          <w:b/>
          <w:sz w:val="26"/>
          <w:szCs w:val="26"/>
          <w:lang w:eastAsia="lv-LV"/>
        </w:rPr>
        <w:t>.diagramma</w:t>
      </w:r>
    </w:p>
    <w:p w:rsidR="00A0581C" w:rsidRPr="00090CDE" w:rsidRDefault="00A0581C" w:rsidP="00A70354">
      <w:pPr>
        <w:spacing w:after="0" w:line="360" w:lineRule="auto"/>
        <w:jc w:val="center"/>
        <w:rPr>
          <w:rFonts w:eastAsia="Times New Roman" w:cs="Times New Roman"/>
          <w:b/>
          <w:sz w:val="26"/>
          <w:szCs w:val="26"/>
          <w:lang w:eastAsia="lv-LV"/>
        </w:rPr>
      </w:pPr>
      <w:r w:rsidRPr="00090CDE">
        <w:rPr>
          <w:noProof/>
          <w:lang w:val="en-GB" w:eastAsia="en-GB"/>
        </w:rPr>
        <w:drawing>
          <wp:inline distT="0" distB="0" distL="0" distR="0" wp14:anchorId="76EC66F7" wp14:editId="663714EE">
            <wp:extent cx="5829299" cy="2995612"/>
            <wp:effectExtent l="0" t="0" r="635" b="1460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1253D" w:rsidRPr="00090CDE" w:rsidRDefault="007E1C93" w:rsidP="00540292">
      <w:pPr>
        <w:spacing w:after="0" w:line="240" w:lineRule="auto"/>
        <w:ind w:firstLine="720"/>
        <w:rPr>
          <w:rFonts w:eastAsia="Times New Roman" w:cs="Times New Roman"/>
          <w:sz w:val="28"/>
          <w:szCs w:val="28"/>
          <w:lang w:eastAsia="lv-LV"/>
        </w:rPr>
      </w:pPr>
      <w:r w:rsidRPr="00090CDE">
        <w:rPr>
          <w:rFonts w:eastAsia="Times New Roman" w:cs="Times New Roman"/>
          <w:sz w:val="28"/>
          <w:szCs w:val="28"/>
          <w:lang w:eastAsia="lv-LV"/>
        </w:rPr>
        <w:t>Analizējot 4 gadu periodā bāriņtiesu iesniegtos datus par vecāku, kuriem pārtrauktas bērnu aizgādības tiesības, skaitu, ik gadu konstatējams pak</w:t>
      </w:r>
      <w:r w:rsidR="0021253D" w:rsidRPr="00090CDE">
        <w:rPr>
          <w:rFonts w:eastAsia="Times New Roman" w:cs="Times New Roman"/>
          <w:sz w:val="28"/>
          <w:szCs w:val="28"/>
          <w:lang w:eastAsia="lv-LV"/>
        </w:rPr>
        <w:t>āpenisks personu, kurām pārtrauktas bērnu aizgādības tiesības, skaita samazinājums, proti, 2012.gadā aizgādības tiesības pārtrauktas 1876 personām, savukārt 2013.gadā- 1799 personai, tātad 2013.gadā aizgādības tiesības pārtrauktas par 77 personām mazāk kā 2012.gadā. Konstatēts, ka 2014.gadā salīdzinājumā ar iepriekšējiem gadiem būtiski samazinājies</w:t>
      </w:r>
      <w:r w:rsidR="00B02B6F" w:rsidRPr="00090CDE">
        <w:rPr>
          <w:rFonts w:eastAsia="Times New Roman" w:cs="Times New Roman"/>
          <w:sz w:val="28"/>
          <w:szCs w:val="28"/>
          <w:lang w:eastAsia="lv-LV"/>
        </w:rPr>
        <w:t xml:space="preserve"> to personu, kurām pārtrauktas aizgādības tiesības, kopējais skaits, proti, 1404 vecākiem pārtrauktas bērnu aizgādības tiesības, t.i. par 395 personām mazāk nekā 2013.gadā un par 472 personām mazāk nekā 2012.gadā. </w:t>
      </w:r>
      <w:r w:rsidRPr="00090CDE">
        <w:rPr>
          <w:rFonts w:eastAsia="Times New Roman" w:cs="Times New Roman"/>
          <w:sz w:val="28"/>
          <w:szCs w:val="28"/>
          <w:lang w:eastAsia="lv-LV"/>
        </w:rPr>
        <w:t xml:space="preserve">Apkopojot statistisko informāciju </w:t>
      </w:r>
      <w:r w:rsidR="00FD6F75" w:rsidRPr="00090CDE">
        <w:rPr>
          <w:rFonts w:eastAsia="Times New Roman" w:cs="Times New Roman"/>
          <w:sz w:val="28"/>
          <w:szCs w:val="28"/>
          <w:lang w:eastAsia="lv-LV"/>
        </w:rPr>
        <w:t>par 2015</w:t>
      </w:r>
      <w:r w:rsidRPr="00090CDE">
        <w:rPr>
          <w:rFonts w:eastAsia="Times New Roman" w:cs="Times New Roman"/>
          <w:sz w:val="28"/>
          <w:szCs w:val="28"/>
          <w:lang w:eastAsia="lv-LV"/>
        </w:rPr>
        <w:t xml:space="preserve">.gadu, </w:t>
      </w:r>
      <w:r w:rsidR="00EA5171" w:rsidRPr="00090CDE">
        <w:rPr>
          <w:rFonts w:eastAsia="Times New Roman" w:cs="Times New Roman"/>
          <w:sz w:val="28"/>
          <w:szCs w:val="28"/>
          <w:lang w:eastAsia="lv-LV"/>
        </w:rPr>
        <w:t xml:space="preserve">konstatēts, ka arī minētajā gadā samazinājies personu, kurām pārtrauktas aizgādības tiesības, kopējais skaits. </w:t>
      </w:r>
      <w:r w:rsidRPr="00090CDE">
        <w:rPr>
          <w:rFonts w:eastAsia="Times New Roman" w:cs="Times New Roman"/>
          <w:sz w:val="28"/>
          <w:szCs w:val="28"/>
          <w:lang w:eastAsia="lv-LV"/>
        </w:rPr>
        <w:t xml:space="preserve">Proti, </w:t>
      </w:r>
      <w:r w:rsidR="00D46EA5" w:rsidRPr="00090CDE">
        <w:rPr>
          <w:rFonts w:eastAsia="Times New Roman" w:cs="Times New Roman"/>
          <w:sz w:val="28"/>
          <w:szCs w:val="28"/>
          <w:lang w:eastAsia="lv-LV"/>
        </w:rPr>
        <w:t>2015</w:t>
      </w:r>
      <w:r w:rsidRPr="00090CDE">
        <w:rPr>
          <w:rFonts w:eastAsia="Times New Roman" w:cs="Times New Roman"/>
          <w:sz w:val="28"/>
          <w:szCs w:val="28"/>
          <w:lang w:eastAsia="lv-LV"/>
        </w:rPr>
        <w:t>.gadā bāriņtiesas pieņēmušas savas kompetences ietvaros lēmumu pārtraukt bērnu aizgādības tiesības</w:t>
      </w:r>
      <w:r w:rsidR="00D46EA5" w:rsidRPr="00090CDE">
        <w:rPr>
          <w:rFonts w:eastAsia="Times New Roman" w:cs="Times New Roman"/>
          <w:sz w:val="28"/>
          <w:szCs w:val="28"/>
          <w:lang w:eastAsia="lv-LV"/>
        </w:rPr>
        <w:t xml:space="preserve"> 1235 </w:t>
      </w:r>
      <w:r w:rsidRPr="00090CDE">
        <w:rPr>
          <w:rFonts w:eastAsia="Times New Roman" w:cs="Times New Roman"/>
          <w:sz w:val="28"/>
          <w:szCs w:val="28"/>
          <w:lang w:eastAsia="lv-LV"/>
        </w:rPr>
        <w:t xml:space="preserve"> vecākiem, </w:t>
      </w:r>
      <w:r w:rsidR="00D46EA5" w:rsidRPr="00090CDE">
        <w:rPr>
          <w:rFonts w:eastAsia="Times New Roman" w:cs="Times New Roman"/>
          <w:sz w:val="28"/>
          <w:szCs w:val="28"/>
          <w:lang w:eastAsia="lv-LV"/>
        </w:rPr>
        <w:t xml:space="preserve">t.i. par 169 personām mazāk nekā iepriekšējā gadā. </w:t>
      </w:r>
    </w:p>
    <w:p w:rsidR="00330BAF" w:rsidRPr="00090CDE" w:rsidRDefault="007E1C93" w:rsidP="00330BAF">
      <w:pPr>
        <w:spacing w:after="0" w:line="240" w:lineRule="auto"/>
        <w:ind w:firstLine="720"/>
        <w:rPr>
          <w:rFonts w:eastAsia="Times New Roman" w:cs="Times New Roman"/>
          <w:sz w:val="28"/>
          <w:szCs w:val="28"/>
          <w:lang w:eastAsia="lv-LV"/>
        </w:rPr>
      </w:pPr>
      <w:r w:rsidRPr="00090CDE">
        <w:rPr>
          <w:rFonts w:eastAsia="Times New Roman" w:cs="Times New Roman"/>
          <w:sz w:val="28"/>
          <w:szCs w:val="28"/>
          <w:lang w:eastAsia="lv-LV"/>
        </w:rPr>
        <w:t xml:space="preserve">Proporcionāli vecāku skaita samazinājumam vērojami skaitliski analogi rādītāji attiecībā uz bērnu, kuru vecākiem pārtrauktas aizgādības tiesības, skaita samazinājumu. </w:t>
      </w:r>
      <w:r w:rsidR="00540292" w:rsidRPr="00090CDE">
        <w:rPr>
          <w:rFonts w:eastAsia="Times New Roman" w:cs="Times New Roman"/>
          <w:sz w:val="28"/>
          <w:szCs w:val="28"/>
          <w:lang w:eastAsia="lv-LV"/>
        </w:rPr>
        <w:t>Vadoties no 2</w:t>
      </w:r>
      <w:r w:rsidRPr="00090CDE">
        <w:rPr>
          <w:rFonts w:eastAsia="Times New Roman" w:cs="Times New Roman"/>
          <w:sz w:val="28"/>
          <w:szCs w:val="28"/>
          <w:lang w:eastAsia="lv-LV"/>
        </w:rPr>
        <w:t>.diagrammā apkopotajiem datiem, 2012.gadā bāriņtiesas sniegušas datus par 2189 bērniem, kuru vecākiem p</w:t>
      </w:r>
      <w:r w:rsidR="00C44419" w:rsidRPr="00090CDE">
        <w:rPr>
          <w:rFonts w:eastAsia="Times New Roman" w:cs="Times New Roman"/>
          <w:sz w:val="28"/>
          <w:szCs w:val="28"/>
          <w:lang w:eastAsia="lv-LV"/>
        </w:rPr>
        <w:t>ārtrauktas aizgādības tiesības</w:t>
      </w:r>
      <w:r w:rsidR="007B0335" w:rsidRPr="00090CDE">
        <w:rPr>
          <w:rFonts w:eastAsia="Times New Roman" w:cs="Times New Roman"/>
          <w:sz w:val="28"/>
          <w:szCs w:val="28"/>
          <w:lang w:eastAsia="lv-LV"/>
        </w:rPr>
        <w:t>, 2013.gadā dati sniegti par 20</w:t>
      </w:r>
      <w:r w:rsidR="00C44419" w:rsidRPr="00090CDE">
        <w:rPr>
          <w:rFonts w:eastAsia="Times New Roman" w:cs="Times New Roman"/>
          <w:sz w:val="28"/>
          <w:szCs w:val="28"/>
          <w:lang w:eastAsia="lv-LV"/>
        </w:rPr>
        <w:t xml:space="preserve">32 bērniem. Savukārt 2014.gadā no ģimenes </w:t>
      </w:r>
      <w:r w:rsidR="00C44419" w:rsidRPr="00090CDE">
        <w:rPr>
          <w:rFonts w:eastAsia="Times New Roman" w:cs="Times New Roman"/>
          <w:sz w:val="28"/>
          <w:szCs w:val="28"/>
          <w:lang w:eastAsia="lv-LV"/>
        </w:rPr>
        <w:lastRenderedPageBreak/>
        <w:t xml:space="preserve">šķirti 1605 bērni, kas ir par 427 bērniem mazāk nekā 2013.gadā. Apkopojot datus par 2015.gadu, noskaidrots, ka </w:t>
      </w:r>
      <w:r w:rsidR="00D24CA7" w:rsidRPr="00090CDE">
        <w:rPr>
          <w:rFonts w:eastAsia="Times New Roman" w:cs="Times New Roman"/>
          <w:sz w:val="28"/>
          <w:szCs w:val="28"/>
          <w:lang w:eastAsia="lv-LV"/>
        </w:rPr>
        <w:t xml:space="preserve">bāriņtiesas sniegušas datus par </w:t>
      </w:r>
      <w:r w:rsidR="00470905" w:rsidRPr="00090CDE">
        <w:rPr>
          <w:rFonts w:eastAsia="Times New Roman" w:cs="Times New Roman"/>
          <w:sz w:val="28"/>
          <w:szCs w:val="28"/>
          <w:lang w:eastAsia="lv-LV"/>
        </w:rPr>
        <w:t>1465 bērniem</w:t>
      </w:r>
      <w:r w:rsidR="00D24CA7" w:rsidRPr="00090CDE">
        <w:rPr>
          <w:rFonts w:eastAsia="Times New Roman" w:cs="Times New Roman"/>
          <w:sz w:val="28"/>
          <w:szCs w:val="28"/>
          <w:lang w:eastAsia="lv-LV"/>
        </w:rPr>
        <w:t>, kuru</w:t>
      </w:r>
      <w:r w:rsidR="00C44419" w:rsidRPr="00090CDE">
        <w:rPr>
          <w:rFonts w:eastAsia="Times New Roman" w:cs="Times New Roman"/>
          <w:sz w:val="28"/>
          <w:szCs w:val="28"/>
          <w:lang w:eastAsia="lv-LV"/>
        </w:rPr>
        <w:t xml:space="preserve"> vecākiem </w:t>
      </w:r>
      <w:r w:rsidR="00D24CA7" w:rsidRPr="00090CDE">
        <w:rPr>
          <w:rFonts w:eastAsia="Times New Roman" w:cs="Times New Roman"/>
          <w:sz w:val="28"/>
          <w:szCs w:val="28"/>
          <w:lang w:eastAsia="lv-LV"/>
        </w:rPr>
        <w:t>pārtrauktas aizgādības tiesības, kas ir par 140 bērniem mazāk nekā iepriekšējā gad</w:t>
      </w:r>
      <w:r w:rsidR="00330BAF" w:rsidRPr="00090CDE">
        <w:rPr>
          <w:rFonts w:eastAsia="Times New Roman" w:cs="Times New Roman"/>
          <w:sz w:val="28"/>
          <w:szCs w:val="28"/>
          <w:lang w:eastAsia="lv-LV"/>
        </w:rPr>
        <w:t>ā.</w:t>
      </w:r>
    </w:p>
    <w:p w:rsidR="00330BAF" w:rsidRPr="00090CDE" w:rsidRDefault="00330BAF" w:rsidP="00330BAF">
      <w:pPr>
        <w:spacing w:after="0" w:line="240" w:lineRule="auto"/>
        <w:ind w:firstLine="720"/>
        <w:rPr>
          <w:rFonts w:eastAsia="Times New Roman" w:cs="Times New Roman"/>
          <w:sz w:val="28"/>
          <w:szCs w:val="28"/>
          <w:lang w:eastAsia="lv-LV"/>
        </w:rPr>
      </w:pPr>
      <w:r w:rsidRPr="00090CDE">
        <w:rPr>
          <w:rFonts w:eastAsia="Times New Roman" w:cs="Times New Roman"/>
          <w:sz w:val="28"/>
          <w:szCs w:val="28"/>
          <w:lang w:eastAsia="lv-LV"/>
        </w:rPr>
        <w:t xml:space="preserve">No 1.tabulā apkopotajiem datiem redzams, ka 2015.gadā līdzīgi kā iepriekšējos  gados bērnu aizgādības tiesības vecākiem visvairāk tika pārtrauktas par bērniem vecuma grupā no 4 līdz 12 gadiem, ieskaitot, savukārt skaitliski mazāks ir to gadījumu skaits, kad vecākiem pārtrauktas bērnu vecumā no 13 līdz 17 gadiem aizgādības tiesības.  </w:t>
      </w:r>
    </w:p>
    <w:p w:rsidR="00330BAF" w:rsidRPr="00090CDE" w:rsidRDefault="00330BAF" w:rsidP="00330BAF">
      <w:pPr>
        <w:spacing w:after="120" w:line="240" w:lineRule="auto"/>
        <w:ind w:firstLine="720"/>
        <w:jc w:val="right"/>
        <w:rPr>
          <w:rFonts w:eastAsia="Times New Roman" w:cs="Times New Roman"/>
          <w:b/>
          <w:sz w:val="26"/>
          <w:szCs w:val="26"/>
          <w:lang w:eastAsia="lv-LV"/>
        </w:rPr>
      </w:pPr>
      <w:r w:rsidRPr="00090CDE">
        <w:rPr>
          <w:rFonts w:eastAsia="Times New Roman" w:cs="Times New Roman"/>
          <w:b/>
          <w:sz w:val="26"/>
          <w:szCs w:val="26"/>
          <w:lang w:eastAsia="lv-LV"/>
        </w:rPr>
        <w:t>1.tabula</w:t>
      </w:r>
    </w:p>
    <w:tbl>
      <w:tblPr>
        <w:tblStyle w:val="TableGrid"/>
        <w:tblW w:w="0" w:type="auto"/>
        <w:tblInd w:w="1384"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ayout w:type="fixed"/>
        <w:tblLook w:val="04A0" w:firstRow="1" w:lastRow="0" w:firstColumn="1" w:lastColumn="0" w:noHBand="0" w:noVBand="1"/>
      </w:tblPr>
      <w:tblGrid>
        <w:gridCol w:w="2331"/>
        <w:gridCol w:w="1213"/>
        <w:gridCol w:w="1134"/>
        <w:gridCol w:w="1276"/>
        <w:gridCol w:w="1276"/>
      </w:tblGrid>
      <w:tr w:rsidR="00330BAF" w:rsidRPr="00090CDE" w:rsidTr="002A7800">
        <w:tc>
          <w:tcPr>
            <w:tcW w:w="7230" w:type="dxa"/>
            <w:gridSpan w:val="5"/>
          </w:tcPr>
          <w:p w:rsidR="00330BAF" w:rsidRPr="00090CDE" w:rsidRDefault="00330BAF" w:rsidP="002A7800">
            <w:pPr>
              <w:spacing w:after="120"/>
              <w:jc w:val="center"/>
              <w:rPr>
                <w:rFonts w:eastAsia="Times New Roman" w:cs="Times New Roman"/>
                <w:b/>
                <w:sz w:val="22"/>
                <w:lang w:eastAsia="lv-LV"/>
              </w:rPr>
            </w:pPr>
            <w:r w:rsidRPr="00090CDE">
              <w:rPr>
                <w:rFonts w:eastAsia="Times New Roman" w:cs="Times New Roman"/>
                <w:b/>
                <w:sz w:val="22"/>
                <w:lang w:eastAsia="lv-LV"/>
              </w:rPr>
              <w:t>Bērnu skaits, kuru vecākiem pārtrauktas aizgādības tiesības</w:t>
            </w:r>
          </w:p>
        </w:tc>
      </w:tr>
      <w:tr w:rsidR="00330BAF" w:rsidRPr="00090CDE" w:rsidTr="002A7800">
        <w:trPr>
          <w:trHeight w:val="373"/>
        </w:trPr>
        <w:tc>
          <w:tcPr>
            <w:tcW w:w="2331" w:type="dxa"/>
          </w:tcPr>
          <w:p w:rsidR="00330BAF" w:rsidRPr="00090CDE" w:rsidRDefault="00330BAF" w:rsidP="002A7800">
            <w:pPr>
              <w:spacing w:after="120"/>
              <w:rPr>
                <w:rFonts w:eastAsia="Times New Roman" w:cs="Times New Roman"/>
                <w:sz w:val="20"/>
                <w:szCs w:val="20"/>
                <w:lang w:eastAsia="lv-LV"/>
              </w:rPr>
            </w:pPr>
            <w:r w:rsidRPr="00090CDE">
              <w:rPr>
                <w:rFonts w:eastAsia="Times New Roman" w:cs="Times New Roman"/>
                <w:sz w:val="20"/>
                <w:szCs w:val="20"/>
                <w:lang w:eastAsia="lv-LV"/>
              </w:rPr>
              <w:t>Bērni vecumā:</w:t>
            </w:r>
          </w:p>
        </w:tc>
        <w:tc>
          <w:tcPr>
            <w:tcW w:w="1213" w:type="dxa"/>
          </w:tcPr>
          <w:p w:rsidR="00330BAF" w:rsidRPr="00090CDE" w:rsidRDefault="00330BAF" w:rsidP="002A7800">
            <w:pPr>
              <w:spacing w:after="120"/>
              <w:jc w:val="center"/>
              <w:rPr>
                <w:rFonts w:eastAsia="Times New Roman" w:cs="Times New Roman"/>
                <w:sz w:val="20"/>
                <w:szCs w:val="20"/>
                <w:lang w:eastAsia="lv-LV"/>
              </w:rPr>
            </w:pPr>
            <w:r w:rsidRPr="00090CDE">
              <w:rPr>
                <w:rFonts w:eastAsia="Times New Roman" w:cs="Times New Roman"/>
                <w:sz w:val="20"/>
                <w:szCs w:val="20"/>
                <w:lang w:eastAsia="lv-LV"/>
              </w:rPr>
              <w:t>2012.gads</w:t>
            </w:r>
          </w:p>
        </w:tc>
        <w:tc>
          <w:tcPr>
            <w:tcW w:w="1134" w:type="dxa"/>
          </w:tcPr>
          <w:p w:rsidR="00330BAF" w:rsidRPr="00090CDE" w:rsidRDefault="00330BAF" w:rsidP="002A7800">
            <w:pPr>
              <w:spacing w:after="120"/>
              <w:jc w:val="center"/>
              <w:rPr>
                <w:rFonts w:eastAsia="Times New Roman" w:cs="Times New Roman"/>
                <w:sz w:val="20"/>
                <w:szCs w:val="20"/>
                <w:lang w:eastAsia="lv-LV"/>
              </w:rPr>
            </w:pPr>
            <w:r w:rsidRPr="00090CDE">
              <w:rPr>
                <w:rFonts w:eastAsia="Times New Roman" w:cs="Times New Roman"/>
                <w:sz w:val="20"/>
                <w:szCs w:val="20"/>
                <w:lang w:eastAsia="lv-LV"/>
              </w:rPr>
              <w:t>2013.gads</w:t>
            </w:r>
          </w:p>
        </w:tc>
        <w:tc>
          <w:tcPr>
            <w:tcW w:w="1276" w:type="dxa"/>
          </w:tcPr>
          <w:p w:rsidR="00330BAF" w:rsidRPr="00090CDE" w:rsidRDefault="00330BAF" w:rsidP="002A7800">
            <w:pPr>
              <w:spacing w:after="120"/>
              <w:jc w:val="center"/>
              <w:rPr>
                <w:rFonts w:eastAsia="Times New Roman" w:cs="Times New Roman"/>
                <w:sz w:val="20"/>
                <w:szCs w:val="20"/>
                <w:lang w:eastAsia="lv-LV"/>
              </w:rPr>
            </w:pPr>
            <w:r w:rsidRPr="00090CDE">
              <w:rPr>
                <w:rFonts w:eastAsia="Times New Roman" w:cs="Times New Roman"/>
                <w:sz w:val="20"/>
                <w:szCs w:val="20"/>
                <w:lang w:eastAsia="lv-LV"/>
              </w:rPr>
              <w:t>2014.gads</w:t>
            </w:r>
          </w:p>
        </w:tc>
        <w:tc>
          <w:tcPr>
            <w:tcW w:w="1276" w:type="dxa"/>
          </w:tcPr>
          <w:p w:rsidR="00330BAF" w:rsidRPr="00090CDE" w:rsidRDefault="00330BAF" w:rsidP="002A7800">
            <w:pPr>
              <w:spacing w:after="120"/>
              <w:jc w:val="center"/>
              <w:rPr>
                <w:rFonts w:eastAsia="Times New Roman" w:cs="Times New Roman"/>
                <w:sz w:val="20"/>
                <w:szCs w:val="20"/>
                <w:lang w:eastAsia="lv-LV"/>
              </w:rPr>
            </w:pPr>
            <w:r w:rsidRPr="00090CDE">
              <w:rPr>
                <w:rFonts w:eastAsia="Times New Roman" w:cs="Times New Roman"/>
                <w:sz w:val="20"/>
                <w:szCs w:val="20"/>
                <w:lang w:eastAsia="lv-LV"/>
              </w:rPr>
              <w:t>2015.gads</w:t>
            </w:r>
          </w:p>
        </w:tc>
      </w:tr>
      <w:tr w:rsidR="00330BAF" w:rsidRPr="00090CDE" w:rsidTr="002A7800">
        <w:tc>
          <w:tcPr>
            <w:tcW w:w="2331" w:type="dxa"/>
          </w:tcPr>
          <w:p w:rsidR="00330BAF" w:rsidRPr="00090CDE" w:rsidRDefault="00330BAF" w:rsidP="002A7800">
            <w:pPr>
              <w:spacing w:after="120"/>
              <w:jc w:val="left"/>
              <w:rPr>
                <w:rFonts w:eastAsia="Times New Roman" w:cs="Times New Roman"/>
                <w:sz w:val="20"/>
                <w:szCs w:val="20"/>
                <w:lang w:eastAsia="lv-LV"/>
              </w:rPr>
            </w:pPr>
            <w:r w:rsidRPr="00090CDE">
              <w:rPr>
                <w:rFonts w:eastAsia="Times New Roman" w:cs="Times New Roman"/>
                <w:sz w:val="20"/>
                <w:szCs w:val="20"/>
                <w:lang w:eastAsia="lv-LV"/>
              </w:rPr>
              <w:t>līdz 3 gadiem</w:t>
            </w:r>
          </w:p>
        </w:tc>
        <w:tc>
          <w:tcPr>
            <w:tcW w:w="1213" w:type="dxa"/>
          </w:tcPr>
          <w:p w:rsidR="00330BAF" w:rsidRPr="00090CDE" w:rsidRDefault="00330BAF" w:rsidP="002A7800">
            <w:pPr>
              <w:spacing w:after="120"/>
              <w:jc w:val="center"/>
              <w:rPr>
                <w:rFonts w:eastAsia="Times New Roman" w:cs="Times New Roman"/>
                <w:sz w:val="20"/>
                <w:szCs w:val="20"/>
                <w:lang w:eastAsia="lv-LV"/>
              </w:rPr>
            </w:pPr>
            <w:r w:rsidRPr="00090CDE">
              <w:rPr>
                <w:rFonts w:eastAsia="Times New Roman" w:cs="Times New Roman"/>
                <w:sz w:val="20"/>
                <w:szCs w:val="20"/>
                <w:lang w:eastAsia="lv-LV"/>
              </w:rPr>
              <w:t>658</w:t>
            </w:r>
          </w:p>
        </w:tc>
        <w:tc>
          <w:tcPr>
            <w:tcW w:w="1134" w:type="dxa"/>
          </w:tcPr>
          <w:p w:rsidR="00330BAF" w:rsidRPr="00090CDE" w:rsidRDefault="00330BAF" w:rsidP="002A7800">
            <w:pPr>
              <w:spacing w:after="120"/>
              <w:jc w:val="center"/>
              <w:rPr>
                <w:rFonts w:eastAsia="Times New Roman" w:cs="Times New Roman"/>
                <w:sz w:val="20"/>
                <w:szCs w:val="20"/>
                <w:lang w:eastAsia="lv-LV"/>
              </w:rPr>
            </w:pPr>
            <w:r w:rsidRPr="00090CDE">
              <w:rPr>
                <w:rFonts w:eastAsia="Times New Roman" w:cs="Times New Roman"/>
                <w:sz w:val="20"/>
                <w:szCs w:val="20"/>
                <w:lang w:eastAsia="lv-LV"/>
              </w:rPr>
              <w:t>603</w:t>
            </w:r>
          </w:p>
        </w:tc>
        <w:tc>
          <w:tcPr>
            <w:tcW w:w="1276" w:type="dxa"/>
          </w:tcPr>
          <w:p w:rsidR="00330BAF" w:rsidRPr="00090CDE" w:rsidRDefault="00330BAF" w:rsidP="002A7800">
            <w:pPr>
              <w:spacing w:after="120"/>
              <w:jc w:val="center"/>
              <w:rPr>
                <w:rFonts w:eastAsia="Times New Roman" w:cs="Times New Roman"/>
                <w:sz w:val="20"/>
                <w:szCs w:val="20"/>
                <w:lang w:eastAsia="lv-LV"/>
              </w:rPr>
            </w:pPr>
            <w:r w:rsidRPr="00090CDE">
              <w:rPr>
                <w:rFonts w:eastAsia="Times New Roman" w:cs="Times New Roman"/>
                <w:sz w:val="20"/>
                <w:szCs w:val="20"/>
                <w:lang w:eastAsia="lv-LV"/>
              </w:rPr>
              <w:t>472</w:t>
            </w:r>
          </w:p>
        </w:tc>
        <w:tc>
          <w:tcPr>
            <w:tcW w:w="1276" w:type="dxa"/>
          </w:tcPr>
          <w:p w:rsidR="00330BAF" w:rsidRPr="00090CDE" w:rsidRDefault="00330BAF" w:rsidP="002A7800">
            <w:pPr>
              <w:spacing w:after="120"/>
              <w:jc w:val="center"/>
              <w:rPr>
                <w:rFonts w:eastAsia="Times New Roman" w:cs="Times New Roman"/>
                <w:sz w:val="20"/>
                <w:szCs w:val="20"/>
                <w:lang w:eastAsia="lv-LV"/>
              </w:rPr>
            </w:pPr>
            <w:r w:rsidRPr="00090CDE">
              <w:rPr>
                <w:rFonts w:eastAsia="Times New Roman" w:cs="Times New Roman"/>
                <w:sz w:val="20"/>
                <w:szCs w:val="20"/>
                <w:lang w:eastAsia="lv-LV"/>
              </w:rPr>
              <w:t>457</w:t>
            </w:r>
          </w:p>
        </w:tc>
      </w:tr>
      <w:tr w:rsidR="00330BAF" w:rsidRPr="00090CDE" w:rsidTr="002A7800">
        <w:tc>
          <w:tcPr>
            <w:tcW w:w="2331" w:type="dxa"/>
          </w:tcPr>
          <w:p w:rsidR="00330BAF" w:rsidRPr="00090CDE" w:rsidRDefault="00330BAF" w:rsidP="002A7800">
            <w:pPr>
              <w:spacing w:after="120"/>
              <w:jc w:val="left"/>
              <w:rPr>
                <w:rFonts w:eastAsia="Times New Roman" w:cs="Times New Roman"/>
                <w:sz w:val="20"/>
                <w:szCs w:val="20"/>
                <w:lang w:eastAsia="lv-LV"/>
              </w:rPr>
            </w:pPr>
            <w:r w:rsidRPr="00090CDE">
              <w:rPr>
                <w:rFonts w:eastAsia="Times New Roman" w:cs="Times New Roman"/>
                <w:sz w:val="20"/>
                <w:szCs w:val="20"/>
                <w:lang w:eastAsia="lv-LV"/>
              </w:rPr>
              <w:t>no 4 līdz 12 gadiem</w:t>
            </w:r>
          </w:p>
        </w:tc>
        <w:tc>
          <w:tcPr>
            <w:tcW w:w="1213" w:type="dxa"/>
          </w:tcPr>
          <w:p w:rsidR="00330BAF" w:rsidRPr="00090CDE" w:rsidRDefault="00330BAF" w:rsidP="002A7800">
            <w:pPr>
              <w:spacing w:after="120"/>
              <w:jc w:val="center"/>
              <w:rPr>
                <w:rFonts w:eastAsia="Times New Roman" w:cs="Times New Roman"/>
                <w:sz w:val="20"/>
                <w:szCs w:val="20"/>
                <w:lang w:eastAsia="lv-LV"/>
              </w:rPr>
            </w:pPr>
            <w:r w:rsidRPr="00090CDE">
              <w:rPr>
                <w:rFonts w:eastAsia="Times New Roman" w:cs="Times New Roman"/>
                <w:sz w:val="20"/>
                <w:szCs w:val="20"/>
                <w:lang w:eastAsia="lv-LV"/>
              </w:rPr>
              <w:t>1106</w:t>
            </w:r>
          </w:p>
        </w:tc>
        <w:tc>
          <w:tcPr>
            <w:tcW w:w="1134" w:type="dxa"/>
          </w:tcPr>
          <w:p w:rsidR="00330BAF" w:rsidRPr="00090CDE" w:rsidRDefault="00330BAF" w:rsidP="002A7800">
            <w:pPr>
              <w:spacing w:after="120"/>
              <w:jc w:val="center"/>
              <w:rPr>
                <w:rFonts w:eastAsia="Times New Roman" w:cs="Times New Roman"/>
                <w:sz w:val="20"/>
                <w:szCs w:val="20"/>
                <w:lang w:eastAsia="lv-LV"/>
              </w:rPr>
            </w:pPr>
            <w:r w:rsidRPr="00090CDE">
              <w:rPr>
                <w:rFonts w:eastAsia="Times New Roman" w:cs="Times New Roman"/>
                <w:sz w:val="20"/>
                <w:szCs w:val="20"/>
                <w:lang w:eastAsia="lv-LV"/>
              </w:rPr>
              <w:t>1004</w:t>
            </w:r>
          </w:p>
        </w:tc>
        <w:tc>
          <w:tcPr>
            <w:tcW w:w="1276" w:type="dxa"/>
          </w:tcPr>
          <w:p w:rsidR="00330BAF" w:rsidRPr="00090CDE" w:rsidRDefault="00330BAF" w:rsidP="002A7800">
            <w:pPr>
              <w:spacing w:after="120"/>
              <w:jc w:val="center"/>
              <w:rPr>
                <w:rFonts w:eastAsia="Times New Roman" w:cs="Times New Roman"/>
                <w:sz w:val="20"/>
                <w:szCs w:val="20"/>
                <w:lang w:eastAsia="lv-LV"/>
              </w:rPr>
            </w:pPr>
            <w:r w:rsidRPr="00090CDE">
              <w:rPr>
                <w:rFonts w:eastAsia="Times New Roman" w:cs="Times New Roman"/>
                <w:sz w:val="20"/>
                <w:szCs w:val="20"/>
                <w:lang w:eastAsia="lv-LV"/>
              </w:rPr>
              <w:t>818</w:t>
            </w:r>
          </w:p>
        </w:tc>
        <w:tc>
          <w:tcPr>
            <w:tcW w:w="1276" w:type="dxa"/>
          </w:tcPr>
          <w:p w:rsidR="00330BAF" w:rsidRPr="00090CDE" w:rsidRDefault="00330BAF" w:rsidP="002A7800">
            <w:pPr>
              <w:spacing w:after="120"/>
              <w:jc w:val="center"/>
              <w:rPr>
                <w:rFonts w:eastAsia="Times New Roman" w:cs="Times New Roman"/>
                <w:sz w:val="20"/>
                <w:szCs w:val="20"/>
                <w:lang w:eastAsia="lv-LV"/>
              </w:rPr>
            </w:pPr>
            <w:r w:rsidRPr="00090CDE">
              <w:rPr>
                <w:rFonts w:eastAsia="Times New Roman" w:cs="Times New Roman"/>
                <w:sz w:val="20"/>
                <w:szCs w:val="20"/>
                <w:lang w:eastAsia="lv-LV"/>
              </w:rPr>
              <w:t>711</w:t>
            </w:r>
          </w:p>
        </w:tc>
      </w:tr>
      <w:tr w:rsidR="00330BAF" w:rsidRPr="00090CDE" w:rsidTr="002A7800">
        <w:tc>
          <w:tcPr>
            <w:tcW w:w="2331" w:type="dxa"/>
          </w:tcPr>
          <w:p w:rsidR="00330BAF" w:rsidRPr="00090CDE" w:rsidRDefault="00330BAF" w:rsidP="002A7800">
            <w:pPr>
              <w:spacing w:after="120"/>
              <w:jc w:val="left"/>
              <w:rPr>
                <w:rFonts w:eastAsia="Times New Roman" w:cs="Times New Roman"/>
                <w:sz w:val="20"/>
                <w:szCs w:val="20"/>
                <w:lang w:eastAsia="lv-LV"/>
              </w:rPr>
            </w:pPr>
            <w:r w:rsidRPr="00090CDE">
              <w:rPr>
                <w:rFonts w:eastAsia="Times New Roman" w:cs="Times New Roman"/>
                <w:sz w:val="20"/>
                <w:szCs w:val="20"/>
                <w:lang w:eastAsia="lv-LV"/>
              </w:rPr>
              <w:t>no 13 līdz 17 gadiem</w:t>
            </w:r>
          </w:p>
        </w:tc>
        <w:tc>
          <w:tcPr>
            <w:tcW w:w="1213" w:type="dxa"/>
          </w:tcPr>
          <w:p w:rsidR="00330BAF" w:rsidRPr="00090CDE" w:rsidRDefault="00330BAF" w:rsidP="002A7800">
            <w:pPr>
              <w:spacing w:after="120"/>
              <w:jc w:val="center"/>
              <w:rPr>
                <w:rFonts w:eastAsia="Times New Roman" w:cs="Times New Roman"/>
                <w:sz w:val="20"/>
                <w:szCs w:val="20"/>
                <w:lang w:eastAsia="lv-LV"/>
              </w:rPr>
            </w:pPr>
            <w:r w:rsidRPr="00090CDE">
              <w:rPr>
                <w:rFonts w:eastAsia="Times New Roman" w:cs="Times New Roman"/>
                <w:sz w:val="20"/>
                <w:szCs w:val="20"/>
                <w:lang w:eastAsia="lv-LV"/>
              </w:rPr>
              <w:t>425</w:t>
            </w:r>
          </w:p>
        </w:tc>
        <w:tc>
          <w:tcPr>
            <w:tcW w:w="1134" w:type="dxa"/>
          </w:tcPr>
          <w:p w:rsidR="00330BAF" w:rsidRPr="00090CDE" w:rsidRDefault="00330BAF" w:rsidP="002A7800">
            <w:pPr>
              <w:spacing w:after="120"/>
              <w:jc w:val="center"/>
              <w:rPr>
                <w:rFonts w:eastAsia="Times New Roman" w:cs="Times New Roman"/>
                <w:sz w:val="20"/>
                <w:szCs w:val="20"/>
                <w:lang w:eastAsia="lv-LV"/>
              </w:rPr>
            </w:pPr>
            <w:r w:rsidRPr="00090CDE">
              <w:rPr>
                <w:rFonts w:eastAsia="Times New Roman" w:cs="Times New Roman"/>
                <w:sz w:val="20"/>
                <w:szCs w:val="20"/>
                <w:lang w:eastAsia="lv-LV"/>
              </w:rPr>
              <w:t>425</w:t>
            </w:r>
          </w:p>
        </w:tc>
        <w:tc>
          <w:tcPr>
            <w:tcW w:w="1276" w:type="dxa"/>
          </w:tcPr>
          <w:p w:rsidR="00330BAF" w:rsidRPr="00090CDE" w:rsidRDefault="00330BAF" w:rsidP="002A7800">
            <w:pPr>
              <w:spacing w:after="120"/>
              <w:jc w:val="center"/>
              <w:rPr>
                <w:rFonts w:eastAsia="Times New Roman" w:cs="Times New Roman"/>
                <w:sz w:val="20"/>
                <w:szCs w:val="20"/>
                <w:lang w:eastAsia="lv-LV"/>
              </w:rPr>
            </w:pPr>
            <w:r w:rsidRPr="00090CDE">
              <w:rPr>
                <w:rFonts w:eastAsia="Times New Roman" w:cs="Times New Roman"/>
                <w:sz w:val="20"/>
                <w:szCs w:val="20"/>
                <w:lang w:eastAsia="lv-LV"/>
              </w:rPr>
              <w:t>315</w:t>
            </w:r>
          </w:p>
        </w:tc>
        <w:tc>
          <w:tcPr>
            <w:tcW w:w="1276" w:type="dxa"/>
          </w:tcPr>
          <w:p w:rsidR="00330BAF" w:rsidRPr="00090CDE" w:rsidRDefault="00330BAF" w:rsidP="002A7800">
            <w:pPr>
              <w:spacing w:after="120"/>
              <w:jc w:val="center"/>
              <w:rPr>
                <w:rFonts w:eastAsia="Times New Roman" w:cs="Times New Roman"/>
                <w:sz w:val="20"/>
                <w:szCs w:val="20"/>
                <w:lang w:eastAsia="lv-LV"/>
              </w:rPr>
            </w:pPr>
            <w:r w:rsidRPr="00090CDE">
              <w:rPr>
                <w:rFonts w:eastAsia="Times New Roman" w:cs="Times New Roman"/>
                <w:sz w:val="20"/>
                <w:szCs w:val="20"/>
                <w:lang w:eastAsia="lv-LV"/>
              </w:rPr>
              <w:t>297</w:t>
            </w:r>
          </w:p>
        </w:tc>
      </w:tr>
    </w:tbl>
    <w:p w:rsidR="00330BAF" w:rsidRPr="00090CDE" w:rsidRDefault="00330BAF" w:rsidP="0005334C">
      <w:pPr>
        <w:tabs>
          <w:tab w:val="left" w:pos="709"/>
        </w:tabs>
        <w:spacing w:after="0"/>
        <w:rPr>
          <w:sz w:val="28"/>
          <w:szCs w:val="28"/>
        </w:rPr>
      </w:pPr>
    </w:p>
    <w:p w:rsidR="0005334C" w:rsidRPr="00090CDE" w:rsidRDefault="00330BAF" w:rsidP="0005334C">
      <w:pPr>
        <w:tabs>
          <w:tab w:val="left" w:pos="709"/>
        </w:tabs>
        <w:spacing w:after="0"/>
        <w:rPr>
          <w:sz w:val="28"/>
          <w:szCs w:val="28"/>
        </w:rPr>
      </w:pPr>
      <w:r w:rsidRPr="00090CDE">
        <w:rPr>
          <w:sz w:val="28"/>
          <w:szCs w:val="28"/>
        </w:rPr>
        <w:tab/>
      </w:r>
      <w:r w:rsidRPr="00090CDE">
        <w:rPr>
          <w:sz w:val="28"/>
          <w:szCs w:val="28"/>
        </w:rPr>
        <w:tab/>
      </w:r>
      <w:r w:rsidR="0005334C" w:rsidRPr="00090CDE">
        <w:rPr>
          <w:sz w:val="28"/>
          <w:szCs w:val="28"/>
        </w:rPr>
        <w:t>Aizgādības tiesību pārtraukšana skar ļoti nozīmīgas personas tiesības uz ģimeni, tādēļ, pieņemot lēmumu par aizgādības tiesību pārtraukšanu, ir jāvērtē, vai iespējams novērst nelabvēlīgos apstākļus, bērnam paliekot ģimenē, vai iespējami citi saudzējošāki līdzekļi, kā nodrošināt bērna vislabākās intereses.</w:t>
      </w:r>
      <w:r w:rsidR="0005334C" w:rsidRPr="00090CDE">
        <w:rPr>
          <w:rStyle w:val="FootnoteReference"/>
          <w:sz w:val="28"/>
          <w:szCs w:val="28"/>
        </w:rPr>
        <w:footnoteReference w:id="1"/>
      </w:r>
      <w:r w:rsidR="0005334C" w:rsidRPr="00090CDE">
        <w:rPr>
          <w:sz w:val="28"/>
          <w:szCs w:val="28"/>
        </w:rPr>
        <w:t xml:space="preserve"> Tādējādi visos gadījumos, pieņemot lēmumu par bērna šķiršanu no ģimenes, bāriņtiesai jāvērtē, vai šāds risinājums ir konkrētā bērna interesēm visatbilstošākais un vai nav iespējams bērna interesēs rast citu veidu, kā novērst konstatētās problēmas ģimenē. </w:t>
      </w:r>
      <w:r w:rsidR="0005334C" w:rsidRPr="00090CDE">
        <w:rPr>
          <w:rFonts w:eastAsia="Times New Roman" w:cs="Times New Roman"/>
          <w:sz w:val="28"/>
          <w:szCs w:val="28"/>
          <w:lang w:eastAsia="lv-LV"/>
        </w:rPr>
        <w:t>Respektīvi, bāriņtiesai ikvienā gadījumā būtu izvērtējams apstāklis, vai nav iespējams novērst bērna attīstībai nelabvēlīgus apstākļus, bērnam paliekot vecāka aprūpē.</w:t>
      </w:r>
    </w:p>
    <w:p w:rsidR="004A431D" w:rsidRPr="00090CDE" w:rsidRDefault="0005334C" w:rsidP="00A4056A">
      <w:pPr>
        <w:tabs>
          <w:tab w:val="left" w:pos="709"/>
        </w:tabs>
        <w:spacing w:after="0"/>
        <w:rPr>
          <w:rFonts w:eastAsia="Times New Roman" w:cs="Times New Roman"/>
          <w:sz w:val="28"/>
          <w:szCs w:val="28"/>
          <w:lang w:eastAsia="lv-LV"/>
        </w:rPr>
      </w:pPr>
      <w:r w:rsidRPr="00090CDE">
        <w:rPr>
          <w:rFonts w:eastAsia="Times New Roman" w:cs="Times New Roman"/>
          <w:sz w:val="27"/>
          <w:szCs w:val="27"/>
          <w:lang w:eastAsia="lv-LV"/>
        </w:rPr>
        <w:tab/>
      </w:r>
      <w:r w:rsidRPr="00090CDE">
        <w:rPr>
          <w:rFonts w:eastAsia="Times New Roman" w:cs="Times New Roman"/>
          <w:sz w:val="28"/>
          <w:szCs w:val="28"/>
          <w:lang w:eastAsia="lv-LV"/>
        </w:rPr>
        <w:t>2015.gada 3.decembrī stājušies spēkā grozījumi Bāriņtiesu likuma 22.pantā, proti, papildināts minētā likuma pants ar 1.</w:t>
      </w:r>
      <w:r w:rsidRPr="00090CDE">
        <w:rPr>
          <w:rFonts w:eastAsia="Times New Roman" w:cs="Times New Roman"/>
          <w:sz w:val="28"/>
          <w:szCs w:val="28"/>
          <w:vertAlign w:val="superscript"/>
          <w:lang w:eastAsia="lv-LV"/>
        </w:rPr>
        <w:t xml:space="preserve">1 </w:t>
      </w:r>
      <w:r w:rsidRPr="00090CDE">
        <w:rPr>
          <w:rFonts w:eastAsia="Times New Roman" w:cs="Times New Roman"/>
          <w:sz w:val="28"/>
          <w:szCs w:val="28"/>
          <w:lang w:eastAsia="lv-LV"/>
        </w:rPr>
        <w:t xml:space="preserve">daļu, kas paredz, ka bāriņtiesa, ierosinot lietu par bērna aizgādības tiesību pārtraukšanu vecākam, veic riska novērtēšanu (vecāka līdzatkarība, problēmas neatzīšana u.tml.), informē vecāku par sekām un uzdod viņam sadarbībā ar sociālo dienestu noteiktā termiņā novērst bērna attīstībai nelabvēlīgos apstākļus. Ja vecāks šajā termiņā kavējas novērst bērna attīstībai nelabvēlīgos apstākļus un bērna palikšana ģimenē var radīt draudus bērna dzīvībai un veselībai, bāriņtiesa lemj par aizgādības tiesību pārtraukšanu vecākam un bērna šķiršanu no ģimenes. Ņemot vērā to, ka minētie grozījumi stājušies spēkā 2015.gada 3.decembrī, izdarīt secinājumus par šī tiesiskā regulējuma ietekmi uz kopējo situāciju aizgādības jautājumu kontekstā, būs iespējams, apkopojot bāriņtiesu sniegtos statistiskos rādītājus par 2016.gadu attiecībā uz vecāku skaitu, kuriem pārskata gadā pārtrauktas aizgādības tiesības. </w:t>
      </w:r>
    </w:p>
    <w:p w:rsidR="00A4056A" w:rsidRPr="00090CDE" w:rsidRDefault="00A4056A" w:rsidP="00A4056A">
      <w:pPr>
        <w:tabs>
          <w:tab w:val="left" w:pos="709"/>
        </w:tabs>
        <w:spacing w:after="0"/>
        <w:rPr>
          <w:rFonts w:eastAsia="Times New Roman" w:cs="Times New Roman"/>
          <w:sz w:val="28"/>
          <w:szCs w:val="28"/>
          <w:lang w:eastAsia="lv-LV"/>
        </w:rPr>
      </w:pPr>
    </w:p>
    <w:p w:rsidR="004A431D" w:rsidRPr="00090CDE" w:rsidRDefault="004A431D" w:rsidP="004A431D">
      <w:pPr>
        <w:pStyle w:val="Heading3"/>
        <w:jc w:val="center"/>
        <w:rPr>
          <w:rFonts w:ascii="Times New Roman" w:eastAsia="Times New Roman" w:hAnsi="Times New Roman" w:cs="Times New Roman"/>
          <w:b/>
          <w:color w:val="auto"/>
          <w:lang w:eastAsia="lv-LV"/>
        </w:rPr>
      </w:pPr>
      <w:bookmarkStart w:id="3" w:name="_Toc455138981"/>
      <w:r w:rsidRPr="00090CDE">
        <w:rPr>
          <w:rFonts w:ascii="Times New Roman" w:eastAsia="Times New Roman" w:hAnsi="Times New Roman" w:cs="Times New Roman"/>
          <w:b/>
          <w:color w:val="auto"/>
          <w:lang w:eastAsia="lv-LV"/>
        </w:rPr>
        <w:lastRenderedPageBreak/>
        <w:t>2.1.1.Aizgādības tiesību pārtrauk</w:t>
      </w:r>
      <w:r w:rsidR="00C26813" w:rsidRPr="00090CDE">
        <w:rPr>
          <w:rFonts w:ascii="Times New Roman" w:eastAsia="Times New Roman" w:hAnsi="Times New Roman" w:cs="Times New Roman"/>
          <w:b/>
          <w:color w:val="auto"/>
          <w:lang w:eastAsia="lv-LV"/>
        </w:rPr>
        <w:t xml:space="preserve">šana </w:t>
      </w:r>
      <w:r w:rsidRPr="00090CDE">
        <w:rPr>
          <w:rFonts w:ascii="Times New Roman" w:eastAsia="Times New Roman" w:hAnsi="Times New Roman" w:cs="Times New Roman"/>
          <w:b/>
          <w:color w:val="auto"/>
          <w:lang w:eastAsia="lv-LV"/>
        </w:rPr>
        <w:t>konstat</w:t>
      </w:r>
      <w:r w:rsidR="00C26813" w:rsidRPr="00090CDE">
        <w:rPr>
          <w:rFonts w:ascii="Times New Roman" w:eastAsia="Times New Roman" w:hAnsi="Times New Roman" w:cs="Times New Roman"/>
          <w:b/>
          <w:color w:val="auto"/>
          <w:lang w:eastAsia="lv-LV"/>
        </w:rPr>
        <w:t>ētās</w:t>
      </w:r>
      <w:r w:rsidRPr="00090CDE">
        <w:rPr>
          <w:rFonts w:ascii="Times New Roman" w:eastAsia="Times New Roman" w:hAnsi="Times New Roman" w:cs="Times New Roman"/>
          <w:b/>
          <w:color w:val="auto"/>
          <w:lang w:eastAsia="lv-LV"/>
        </w:rPr>
        <w:t xml:space="preserve"> vardarb</w:t>
      </w:r>
      <w:r w:rsidR="00C26813" w:rsidRPr="00090CDE">
        <w:rPr>
          <w:rFonts w:ascii="Times New Roman" w:eastAsia="Times New Roman" w:hAnsi="Times New Roman" w:cs="Times New Roman"/>
          <w:b/>
          <w:color w:val="auto"/>
          <w:lang w:eastAsia="lv-LV"/>
        </w:rPr>
        <w:t>ības dēļ</w:t>
      </w:r>
      <w:r w:rsidRPr="00090CDE">
        <w:rPr>
          <w:rFonts w:ascii="Times New Roman" w:eastAsia="Times New Roman" w:hAnsi="Times New Roman" w:cs="Times New Roman"/>
          <w:b/>
          <w:color w:val="auto"/>
          <w:lang w:eastAsia="lv-LV"/>
        </w:rPr>
        <w:t xml:space="preserve"> vai, pastāvot aizdomām par vardarbību pret bērnu</w:t>
      </w:r>
      <w:bookmarkEnd w:id="3"/>
    </w:p>
    <w:p w:rsidR="004A431D" w:rsidRPr="00090CDE" w:rsidRDefault="004A431D" w:rsidP="00BE45CC">
      <w:pPr>
        <w:tabs>
          <w:tab w:val="left" w:pos="1482"/>
        </w:tabs>
        <w:spacing w:after="0"/>
        <w:rPr>
          <w:rFonts w:eastAsia="Times New Roman" w:cs="Times New Roman"/>
          <w:sz w:val="28"/>
          <w:szCs w:val="28"/>
          <w:lang w:eastAsia="lv-LV"/>
        </w:rPr>
      </w:pPr>
    </w:p>
    <w:p w:rsidR="00EF587C" w:rsidRPr="00090CDE" w:rsidRDefault="00EF587C" w:rsidP="00B75CA1">
      <w:pPr>
        <w:tabs>
          <w:tab w:val="left" w:pos="1482"/>
        </w:tabs>
        <w:spacing w:after="0"/>
        <w:ind w:firstLine="840"/>
        <w:rPr>
          <w:sz w:val="28"/>
          <w:szCs w:val="28"/>
        </w:rPr>
      </w:pPr>
      <w:r w:rsidRPr="00090CDE">
        <w:rPr>
          <w:rFonts w:eastAsia="Times New Roman" w:cs="Times New Roman"/>
          <w:sz w:val="28"/>
          <w:szCs w:val="28"/>
          <w:lang w:eastAsia="lv-LV"/>
        </w:rPr>
        <w:t>Atbilstoši Bērnu tiesību aizsardzības likuma normām bērnam ir tiesības būt pasargātam no cietsirdīgas izturēšanās, fiziskas sodīšanas, cieņas un goda aizskaršanas.</w:t>
      </w:r>
      <w:r w:rsidRPr="00090CDE">
        <w:rPr>
          <w:sz w:val="28"/>
          <w:szCs w:val="28"/>
        </w:rPr>
        <w:t xml:space="preserve"> Saskaņā ar minētā likuma 1.panta 9.</w:t>
      </w:r>
      <w:r w:rsidRPr="00090CDE">
        <w:rPr>
          <w:sz w:val="28"/>
          <w:szCs w:val="28"/>
          <w:vertAlign w:val="superscript"/>
        </w:rPr>
        <w:t>1</w:t>
      </w:r>
      <w:r w:rsidRPr="00090CDE">
        <w:rPr>
          <w:sz w:val="28"/>
          <w:szCs w:val="28"/>
        </w:rPr>
        <w:t xml:space="preserve"> punktā paredzēto skaidrojumu, ar jēdzienu “vardarbība” saprotama visu veidu fiziska vai emocionāla cietsirdība, seksuāla vardarbība, nolaidība vai cita veida izturēšanās, kas apdraud vai var apdraudēt bērna veselību, dzīvību, attīstību vai pašcieņu.</w:t>
      </w:r>
      <w:r w:rsidR="00B75CA1" w:rsidRPr="00090CDE">
        <w:rPr>
          <w:sz w:val="28"/>
          <w:szCs w:val="28"/>
        </w:rPr>
        <w:t xml:space="preserve"> </w:t>
      </w:r>
      <w:r w:rsidR="00B75CA1" w:rsidRPr="00090CDE">
        <w:rPr>
          <w:rFonts w:eastAsia="Times New Roman" w:cs="Times New Roman"/>
          <w:sz w:val="28"/>
          <w:szCs w:val="28"/>
          <w:lang w:eastAsia="lv-LV"/>
        </w:rPr>
        <w:t xml:space="preserve">Sociālo pakalpojumu un sociālās palīdzības likumā </w:t>
      </w:r>
      <w:r w:rsidR="00B75CA1" w:rsidRPr="00090CDE">
        <w:rPr>
          <w:sz w:val="28"/>
          <w:szCs w:val="28"/>
        </w:rPr>
        <w:t>noteikts, ka valsts nodrošina vardarbības rezultātā cietušo bērnu sociālo rehabilitāciju.</w:t>
      </w:r>
    </w:p>
    <w:p w:rsidR="004F190C" w:rsidRPr="00090CDE" w:rsidRDefault="004F190C" w:rsidP="009C3464">
      <w:pPr>
        <w:tabs>
          <w:tab w:val="left" w:pos="1482"/>
        </w:tabs>
        <w:spacing w:after="0"/>
        <w:ind w:firstLine="839"/>
        <w:rPr>
          <w:sz w:val="28"/>
          <w:szCs w:val="28"/>
        </w:rPr>
      </w:pPr>
      <w:r w:rsidRPr="00090CDE">
        <w:rPr>
          <w:rFonts w:eastAsia="Times New Roman" w:cs="Times New Roman"/>
          <w:sz w:val="28"/>
          <w:szCs w:val="28"/>
          <w:lang w:eastAsia="lv-LV"/>
        </w:rPr>
        <w:t xml:space="preserve">Bērnu tiesību aizsardzības likuma 52.panta ceturtajā daļā noteikts, ka bērnam, kurš cietis no vardarbības (prettiesiskām darbībām) savā ģimenē vai kuram pastāv reāli vardarbības draudi, nekavējoties nodrošināma ārpusģimenes aprūpe, ja vainīgās personas nav iespējams izolēt no bērna. </w:t>
      </w:r>
    </w:p>
    <w:p w:rsidR="004F190C" w:rsidRPr="00090CDE" w:rsidRDefault="004F190C" w:rsidP="004F190C">
      <w:pPr>
        <w:spacing w:after="0" w:line="240" w:lineRule="auto"/>
        <w:ind w:firstLine="720"/>
        <w:rPr>
          <w:rFonts w:eastAsia="Times New Roman" w:cs="Times New Roman"/>
          <w:sz w:val="28"/>
          <w:szCs w:val="28"/>
          <w:lang w:eastAsia="lv-LV"/>
        </w:rPr>
      </w:pPr>
      <w:r w:rsidRPr="00090CDE">
        <w:rPr>
          <w:rFonts w:eastAsia="Times New Roman" w:cs="Times New Roman"/>
          <w:sz w:val="28"/>
          <w:szCs w:val="28"/>
          <w:lang w:eastAsia="lv-LV"/>
        </w:rPr>
        <w:t>2014.gada 31.martā Latvijā stājās spēkā grozījumi normatīvajos aktos, paredzot iespēju vardarbībā cietušo aizsardzībai civilprocesuālā un policejiskā kārtībā, proti, iespēju cietušajām personām pēc savas iniciatīvas civilprocesa ietvaros vērsties tiesā, tajā skaitā ar policijas starpniecību, un lūgt tiesu noteikt ierobežojumus vardarbīgai personai, proti, iesniegt pieteikumu par pagaidu aizsardzību pret vardarbību</w:t>
      </w:r>
      <w:r w:rsidRPr="00090CDE">
        <w:rPr>
          <w:rFonts w:eastAsia="Times New Roman" w:cs="Times New Roman"/>
          <w:szCs w:val="24"/>
          <w:lang w:eastAsia="lv-LV"/>
        </w:rPr>
        <w:t xml:space="preserve">. </w:t>
      </w:r>
      <w:r w:rsidR="006A0817" w:rsidRPr="00090CDE">
        <w:rPr>
          <w:rFonts w:eastAsia="Times New Roman" w:cs="Times New Roman"/>
          <w:szCs w:val="24"/>
          <w:lang w:eastAsia="lv-LV"/>
        </w:rPr>
        <w:t xml:space="preserve">(Civilprocesa likums paredz konkrētus pagaidu aizsardzības pret vardarbību līdzekļus, piemēram, </w:t>
      </w:r>
      <w:r w:rsidR="006A0817" w:rsidRPr="00090CDE">
        <w:rPr>
          <w:szCs w:val="24"/>
        </w:rPr>
        <w:t>pienākumu atbildētājam atstāt mājokli, aizliegumu atbildētājam jebkurā veidā sazināties ar prasītāju u.c.)</w:t>
      </w:r>
      <w:r w:rsidR="006A0817" w:rsidRPr="00090CDE">
        <w:rPr>
          <w:sz w:val="28"/>
          <w:szCs w:val="28"/>
        </w:rPr>
        <w:t xml:space="preserve"> </w:t>
      </w:r>
      <w:r w:rsidRPr="00090CDE">
        <w:rPr>
          <w:rFonts w:eastAsia="Times New Roman" w:cs="Times New Roman"/>
          <w:sz w:val="28"/>
          <w:szCs w:val="28"/>
          <w:lang w:eastAsia="lv-LV"/>
        </w:rPr>
        <w:t>Tāpat piešķirot policijas darbiniekiem plašākas tiesības rīkoties vardarbības ģimenē gadījumos, ja pastāv tūlītēji draudi, ka persona, kas atrodas mājoklī vai tā tuvumā, var nodarīt kaitējumu šajā mājoklī pastāvīgi dzīvojošas personas</w:t>
      </w:r>
      <w:r w:rsidR="00E7481F" w:rsidRPr="00090CDE">
        <w:rPr>
          <w:rFonts w:eastAsia="Times New Roman" w:cs="Times New Roman"/>
          <w:sz w:val="28"/>
          <w:szCs w:val="28"/>
          <w:lang w:eastAsia="lv-LV"/>
        </w:rPr>
        <w:t>, tajā skaitā bērna,</w:t>
      </w:r>
      <w:r w:rsidRPr="00090CDE">
        <w:rPr>
          <w:rFonts w:eastAsia="Times New Roman" w:cs="Times New Roman"/>
          <w:sz w:val="28"/>
          <w:szCs w:val="28"/>
          <w:lang w:eastAsia="lv-LV"/>
        </w:rPr>
        <w:t xml:space="preserve"> dzīvībai, brīvībai vai veselībai.</w:t>
      </w:r>
    </w:p>
    <w:p w:rsidR="004F190C" w:rsidRPr="00090CDE" w:rsidRDefault="004F190C" w:rsidP="004F190C">
      <w:pPr>
        <w:spacing w:after="0" w:line="240" w:lineRule="auto"/>
        <w:ind w:firstLine="720"/>
        <w:rPr>
          <w:rFonts w:eastAsia="Times New Roman" w:cs="Times New Roman"/>
          <w:sz w:val="28"/>
          <w:szCs w:val="28"/>
          <w:lang w:eastAsia="lv-LV"/>
        </w:rPr>
      </w:pPr>
      <w:r w:rsidRPr="00090CDE">
        <w:rPr>
          <w:rFonts w:eastAsia="Times New Roman" w:cs="Times New Roman"/>
          <w:sz w:val="28"/>
          <w:szCs w:val="28"/>
          <w:lang w:eastAsia="lv-LV"/>
        </w:rPr>
        <w:t xml:space="preserve">Civilprocesa likums nosaka to personu loku, kuras ir tiesīgas iesniegt pieteikumu par pagaidu aizsardzību pret vardarbību, kā arī paredz gadījumus, kuros persona tiesīga vērsties tiesā ar attiecīgu pieteikumu, proti, ja </w:t>
      </w:r>
      <w:r w:rsidRPr="00090CDE">
        <w:rPr>
          <w:sz w:val="28"/>
          <w:szCs w:val="28"/>
        </w:rPr>
        <w:t xml:space="preserve">pret personu ir vērsta jebkāda fiziska, seksuāla, psiholoģiska vai ekonomiska vardarbība. </w:t>
      </w:r>
      <w:r w:rsidR="00E7481F" w:rsidRPr="00090CDE">
        <w:rPr>
          <w:sz w:val="28"/>
          <w:szCs w:val="28"/>
        </w:rPr>
        <w:t xml:space="preserve">Bērna </w:t>
      </w:r>
      <w:r w:rsidR="00817F6F" w:rsidRPr="00090CDE">
        <w:rPr>
          <w:sz w:val="28"/>
          <w:szCs w:val="28"/>
        </w:rPr>
        <w:t>interesēs šādu p</w:t>
      </w:r>
      <w:r w:rsidR="00E7481F" w:rsidRPr="00090CDE">
        <w:rPr>
          <w:sz w:val="28"/>
          <w:szCs w:val="28"/>
        </w:rPr>
        <w:t>i</w:t>
      </w:r>
      <w:r w:rsidR="00817F6F" w:rsidRPr="00090CDE">
        <w:rPr>
          <w:sz w:val="28"/>
          <w:szCs w:val="28"/>
        </w:rPr>
        <w:t>e</w:t>
      </w:r>
      <w:r w:rsidR="00E7481F" w:rsidRPr="00090CDE">
        <w:rPr>
          <w:sz w:val="28"/>
          <w:szCs w:val="28"/>
        </w:rPr>
        <w:t xml:space="preserve">teikumu tiesīgs iesniegt bērna vecāks vai aizbildnis. </w:t>
      </w:r>
    </w:p>
    <w:p w:rsidR="004F190C" w:rsidRPr="00090CDE" w:rsidRDefault="004F190C" w:rsidP="00BF581E">
      <w:pPr>
        <w:pStyle w:val="tv213"/>
        <w:spacing w:before="0" w:beforeAutospacing="0" w:after="0" w:afterAutospacing="0"/>
        <w:ind w:firstLine="720"/>
        <w:jc w:val="both"/>
        <w:rPr>
          <w:bCs/>
          <w:sz w:val="28"/>
          <w:szCs w:val="28"/>
        </w:rPr>
      </w:pPr>
      <w:r w:rsidRPr="00090CDE">
        <w:rPr>
          <w:bCs/>
          <w:sz w:val="28"/>
          <w:szCs w:val="28"/>
        </w:rPr>
        <w:t>Bāriņtiesu likuma 19.</w:t>
      </w:r>
      <w:r w:rsidRPr="00090CDE">
        <w:rPr>
          <w:bCs/>
          <w:sz w:val="28"/>
          <w:szCs w:val="28"/>
          <w:vertAlign w:val="superscript"/>
        </w:rPr>
        <w:t>1</w:t>
      </w:r>
      <w:r w:rsidRPr="00090CDE">
        <w:rPr>
          <w:bCs/>
          <w:sz w:val="28"/>
          <w:szCs w:val="28"/>
        </w:rPr>
        <w:t xml:space="preserve"> pants paredz bāriņtiesas kompetenci bērna interesēs iesniegt tiesai pieteikumu par pagaidu aizsardzību pret vardarbību, ja </w:t>
      </w:r>
      <w:r w:rsidRPr="00090CDE">
        <w:rPr>
          <w:sz w:val="28"/>
          <w:szCs w:val="28"/>
        </w:rPr>
        <w:t xml:space="preserve">bērna vecāks vai aizbildnis objektīvu iemeslu dēļ nav iesniedzis bērna </w:t>
      </w:r>
      <w:r w:rsidR="00E7481F" w:rsidRPr="00090CDE">
        <w:rPr>
          <w:sz w:val="28"/>
          <w:szCs w:val="28"/>
        </w:rPr>
        <w:t>interesēs tiesai šo pieteikumu, un pret bērnu vai personu, kas pastāvīgi dzīvo kopā ar bērnu</w:t>
      </w:r>
      <w:r w:rsidR="00F14F7F" w:rsidRPr="00090CDE">
        <w:rPr>
          <w:sz w:val="28"/>
          <w:szCs w:val="28"/>
        </w:rPr>
        <w:t>,</w:t>
      </w:r>
      <w:r w:rsidR="00E7481F" w:rsidRPr="00090CDE">
        <w:rPr>
          <w:sz w:val="28"/>
          <w:szCs w:val="28"/>
        </w:rPr>
        <w:t xml:space="preserve"> ir vērsta vardarbība vai saņemtas ziņas par iespējamu vardarbību. Tomēr ne visās ģimenes situācijās minētais tiesiskais regulējums ir piemērojams. Nereti konstatēta abu vecāku vardarbīga izturēšanās vai ar</w:t>
      </w:r>
      <w:r w:rsidR="00BF581E" w:rsidRPr="00090CDE">
        <w:rPr>
          <w:sz w:val="28"/>
          <w:szCs w:val="28"/>
        </w:rPr>
        <w:t>ī viena</w:t>
      </w:r>
      <w:r w:rsidR="00E7481F" w:rsidRPr="00090CDE">
        <w:rPr>
          <w:sz w:val="28"/>
          <w:szCs w:val="28"/>
        </w:rPr>
        <w:t xml:space="preserve"> vecāka </w:t>
      </w:r>
      <w:r w:rsidR="00BF581E" w:rsidRPr="00090CDE">
        <w:rPr>
          <w:sz w:val="28"/>
          <w:szCs w:val="28"/>
        </w:rPr>
        <w:t>nevēlēšanās vai nespēja pa</w:t>
      </w:r>
      <w:r w:rsidR="00F14F7F" w:rsidRPr="00090CDE">
        <w:rPr>
          <w:sz w:val="28"/>
          <w:szCs w:val="28"/>
        </w:rPr>
        <w:t>sargāt bērnu no otra vecāka var</w:t>
      </w:r>
      <w:r w:rsidR="00BF581E" w:rsidRPr="00090CDE">
        <w:rPr>
          <w:sz w:val="28"/>
          <w:szCs w:val="28"/>
        </w:rPr>
        <w:t>d</w:t>
      </w:r>
      <w:r w:rsidR="00F14F7F" w:rsidRPr="00090CDE">
        <w:rPr>
          <w:sz w:val="28"/>
          <w:szCs w:val="28"/>
        </w:rPr>
        <w:t>a</w:t>
      </w:r>
      <w:r w:rsidR="00BF581E" w:rsidRPr="00090CDE">
        <w:rPr>
          <w:sz w:val="28"/>
          <w:szCs w:val="28"/>
        </w:rPr>
        <w:t>rbīgas</w:t>
      </w:r>
      <w:r w:rsidR="00F14F7F" w:rsidRPr="00090CDE">
        <w:rPr>
          <w:sz w:val="28"/>
          <w:szCs w:val="28"/>
        </w:rPr>
        <w:t xml:space="preserve"> izturēšanās, neziņojot par var</w:t>
      </w:r>
      <w:r w:rsidR="00BF581E" w:rsidRPr="00090CDE">
        <w:rPr>
          <w:sz w:val="28"/>
          <w:szCs w:val="28"/>
        </w:rPr>
        <w:t>d</w:t>
      </w:r>
      <w:r w:rsidR="00F14F7F" w:rsidRPr="00090CDE">
        <w:rPr>
          <w:sz w:val="28"/>
          <w:szCs w:val="28"/>
        </w:rPr>
        <w:t>a</w:t>
      </w:r>
      <w:r w:rsidR="00BF581E" w:rsidRPr="00090CDE">
        <w:rPr>
          <w:sz w:val="28"/>
          <w:szCs w:val="28"/>
        </w:rPr>
        <w:t>rbību institūcijām, pieļaujot atkārtotas vardarbības epizodes un nemeklējot atbilstošu palīdzību.</w:t>
      </w:r>
    </w:p>
    <w:p w:rsidR="00B30F0A" w:rsidRPr="00090CDE" w:rsidRDefault="006A0817" w:rsidP="00817A46">
      <w:pPr>
        <w:tabs>
          <w:tab w:val="left" w:pos="1482"/>
        </w:tabs>
        <w:spacing w:after="0"/>
        <w:ind w:firstLine="839"/>
        <w:rPr>
          <w:sz w:val="28"/>
          <w:szCs w:val="28"/>
        </w:rPr>
      </w:pPr>
      <w:r w:rsidRPr="00090CDE">
        <w:rPr>
          <w:sz w:val="28"/>
          <w:szCs w:val="28"/>
        </w:rPr>
        <w:t xml:space="preserve">Bāriņtiesai, risinot ar bērnu tiesību un interešu aizstāvību saistītos jautājumus, it īpaši, kas attiecināmi uz bērnu aizsardzību iespējamos vardarbības gadījumos, ir pienākums reaģēt visos gadījumos, turklāt ir jārīkojas savlaicīgi, ņemot vērā, ka </w:t>
      </w:r>
      <w:r w:rsidRPr="00090CDE">
        <w:rPr>
          <w:sz w:val="28"/>
          <w:szCs w:val="28"/>
        </w:rPr>
        <w:lastRenderedPageBreak/>
        <w:t>bērnam kā fiziski un intelektuāli nenobriedušai personai vajadzī</w:t>
      </w:r>
      <w:r w:rsidR="003279D2" w:rsidRPr="00090CDE">
        <w:rPr>
          <w:sz w:val="28"/>
          <w:szCs w:val="28"/>
        </w:rPr>
        <w:t xml:space="preserve">ga īpaša aizsardzība un gādība. </w:t>
      </w:r>
      <w:r w:rsidR="00817A46" w:rsidRPr="00090CDE">
        <w:rPr>
          <w:sz w:val="28"/>
          <w:szCs w:val="28"/>
        </w:rPr>
        <w:t>Gadījumos, kad bāriņtiesas rīcībā ir informācija, ka bērns cietis no vardarbības ģimenē un bērns atrodas veselībai vai dzīvībai bīstamos apstākļos</w:t>
      </w:r>
      <w:r w:rsidR="00B30F0A" w:rsidRPr="00090CDE">
        <w:rPr>
          <w:sz w:val="28"/>
          <w:szCs w:val="28"/>
        </w:rPr>
        <w:t xml:space="preserve">, kā arī tad, ja pastāv iespējams dzīvības un </w:t>
      </w:r>
      <w:r w:rsidR="00E821A3" w:rsidRPr="00090CDE">
        <w:rPr>
          <w:sz w:val="28"/>
          <w:szCs w:val="28"/>
        </w:rPr>
        <w:t xml:space="preserve">veselības apdraudējums bērnam, </w:t>
      </w:r>
      <w:r w:rsidR="00B30F0A" w:rsidRPr="00090CDE">
        <w:rPr>
          <w:sz w:val="28"/>
          <w:szCs w:val="28"/>
        </w:rPr>
        <w:t>bērnam paliekot ģimenē, bāriņtiesa tiesīga bērna interesēs pieņemt vienpersonisku lēmumu, tādējādi pasargājot bērnu no vecāku nevērīgas izturēšanās un turpmākās vardarbīgas vecāka izturēšanās, līdz vecāks novērsīs apstākļus, kas bija par pamatu šāda lēmuma pieņemšanai.</w:t>
      </w:r>
    </w:p>
    <w:p w:rsidR="003279D2" w:rsidRPr="00090CDE" w:rsidRDefault="00B30F0A" w:rsidP="00487D2F">
      <w:pPr>
        <w:tabs>
          <w:tab w:val="left" w:pos="1482"/>
        </w:tabs>
        <w:spacing w:after="0"/>
        <w:ind w:firstLine="839"/>
        <w:rPr>
          <w:sz w:val="28"/>
          <w:szCs w:val="28"/>
        </w:rPr>
      </w:pPr>
      <w:r w:rsidRPr="00090CDE">
        <w:rPr>
          <w:sz w:val="28"/>
          <w:szCs w:val="28"/>
        </w:rPr>
        <w:t>Savukārt situācijās, kad bāriņtiesā saņemta informācija par vardarbību (arī iespējamu) ģimenē</w:t>
      </w:r>
      <w:r w:rsidR="00487D2F" w:rsidRPr="00090CDE">
        <w:rPr>
          <w:sz w:val="28"/>
          <w:szCs w:val="28"/>
        </w:rPr>
        <w:t xml:space="preserve">, bet </w:t>
      </w:r>
      <w:r w:rsidRPr="00090CDE">
        <w:rPr>
          <w:sz w:val="28"/>
          <w:szCs w:val="28"/>
        </w:rPr>
        <w:t xml:space="preserve">nepastāv veselības vai dzīvības </w:t>
      </w:r>
      <w:r w:rsidR="00487D2F" w:rsidRPr="00090CDE">
        <w:rPr>
          <w:sz w:val="28"/>
          <w:szCs w:val="28"/>
        </w:rPr>
        <w:t xml:space="preserve">apdraudējums bērnam, bāriņtiesai, realizējot </w:t>
      </w:r>
      <w:r w:rsidR="003279D2" w:rsidRPr="00090CDE">
        <w:rPr>
          <w:sz w:val="28"/>
          <w:szCs w:val="28"/>
        </w:rPr>
        <w:t>bāriņtiesas pienākumu nekavējoties pārbaudīt informāciju par iespējamu va</w:t>
      </w:r>
      <w:r w:rsidR="00487D2F" w:rsidRPr="00090CDE">
        <w:rPr>
          <w:sz w:val="28"/>
          <w:szCs w:val="28"/>
        </w:rPr>
        <w:t>rdarbību pret bērnu</w:t>
      </w:r>
      <w:r w:rsidR="003279D2" w:rsidRPr="00090CDE">
        <w:rPr>
          <w:sz w:val="28"/>
          <w:szCs w:val="28"/>
        </w:rPr>
        <w:t xml:space="preserve">, </w:t>
      </w:r>
      <w:r w:rsidR="003279D2" w:rsidRPr="00090CDE">
        <w:rPr>
          <w:rFonts w:eastAsia="Times New Roman" w:cs="Times New Roman"/>
          <w:sz w:val="28"/>
          <w:szCs w:val="28"/>
          <w:lang w:eastAsia="lv-LV"/>
        </w:rPr>
        <w:t xml:space="preserve">īstenojot Bāriņtiesu likuma 16.pantā noteiktās tiesības, primāri nepieciešams pārbaudīt bērna dzīves apstākļus, jāveic pārrunas ar bērnu bez citu personu klātbūtnes par situāciju un apstākļiem ģimenē, </w:t>
      </w:r>
      <w:r w:rsidR="003279D2" w:rsidRPr="00090CDE">
        <w:rPr>
          <w:sz w:val="28"/>
          <w:szCs w:val="28"/>
        </w:rPr>
        <w:t xml:space="preserve">jāiztaujā </w:t>
      </w:r>
      <w:r w:rsidR="003279D2" w:rsidRPr="00090CDE">
        <w:rPr>
          <w:rFonts w:eastAsia="Times New Roman" w:cs="Times New Roman"/>
          <w:sz w:val="28"/>
          <w:szCs w:val="28"/>
          <w:lang w:eastAsia="lv-LV"/>
        </w:rPr>
        <w:t xml:space="preserve">kaimiņi, pedagogi, mediķi, citas personas, kuras kontaktējas ar bērnu vai viņa ģimeni, vecāki. Tāpat lietās, kur konstatēta vardarbība, būtiski ir izmantot </w:t>
      </w:r>
      <w:r w:rsidR="003279D2" w:rsidRPr="00090CDE">
        <w:rPr>
          <w:sz w:val="28"/>
          <w:szCs w:val="28"/>
        </w:rPr>
        <w:t>bāriņtiesas tiesības lūgt psihologu veikt personas vai ģimenes psiholoģisko izpēti un saņemt psihologa atzinumu par izpētes rezultātiem.</w:t>
      </w:r>
    </w:p>
    <w:p w:rsidR="003279D2" w:rsidRPr="00090CDE" w:rsidRDefault="003279D2" w:rsidP="003279D2">
      <w:pPr>
        <w:tabs>
          <w:tab w:val="left" w:pos="1482"/>
        </w:tabs>
        <w:spacing w:after="0"/>
        <w:ind w:firstLine="840"/>
        <w:rPr>
          <w:sz w:val="28"/>
          <w:szCs w:val="28"/>
        </w:rPr>
      </w:pPr>
      <w:r w:rsidRPr="00090CDE">
        <w:rPr>
          <w:sz w:val="28"/>
          <w:szCs w:val="28"/>
        </w:rPr>
        <w:t>Ievērojot iepriekš minēto, bāriņtiesā saņemtā infor</w:t>
      </w:r>
      <w:r w:rsidR="00487D2F" w:rsidRPr="00090CDE">
        <w:rPr>
          <w:sz w:val="28"/>
          <w:szCs w:val="28"/>
        </w:rPr>
        <w:t xml:space="preserve">mācija par aizdomām par </w:t>
      </w:r>
      <w:r w:rsidRPr="00090CDE">
        <w:rPr>
          <w:sz w:val="28"/>
          <w:szCs w:val="28"/>
        </w:rPr>
        <w:t>vardarbību pret bērnu ir pamats administratīvās lietas ierosināšanai par iespējamu aizgādības tiesību pārtraukšanu vecākam, kuras ietvaros rūpīgi izvērtējama saņemtā informācija atbilstoši bērna labāko interešu nodrošināšanas apsvērumam un pieņemams attiecīgs</w:t>
      </w:r>
      <w:r w:rsidR="00487D2F" w:rsidRPr="00090CDE">
        <w:rPr>
          <w:sz w:val="28"/>
          <w:szCs w:val="28"/>
        </w:rPr>
        <w:t xml:space="preserve"> koleģiāls</w:t>
      </w:r>
      <w:r w:rsidRPr="00090CDE">
        <w:rPr>
          <w:sz w:val="28"/>
          <w:szCs w:val="28"/>
        </w:rPr>
        <w:t xml:space="preserve"> lēmums, ņemot vērā Bāriņtiesu likumā un Civillikumā noteikto par aizgādības tiesību pārtraukšanas iemesliem. </w:t>
      </w:r>
    </w:p>
    <w:p w:rsidR="006A0817" w:rsidRPr="00090CDE" w:rsidRDefault="00293A2F" w:rsidP="007B7C52">
      <w:pPr>
        <w:tabs>
          <w:tab w:val="left" w:pos="1482"/>
        </w:tabs>
        <w:spacing w:after="0"/>
        <w:ind w:firstLine="840"/>
        <w:rPr>
          <w:sz w:val="28"/>
          <w:szCs w:val="28"/>
        </w:rPr>
      </w:pPr>
      <w:r w:rsidRPr="00090CDE">
        <w:rPr>
          <w:sz w:val="28"/>
          <w:szCs w:val="28"/>
        </w:rPr>
        <w:t>Bāriņtiesu ikgada statistikas pārskatos apkopota informācija par vecāku skaitu, kuriem pārskata gadā ar bāriņtiesas lēmumu (gan vienpersonisku, gan koleģiālu) pārtrauktas bērnu aizgādības tiesības vardarbības gadījumos.</w:t>
      </w:r>
    </w:p>
    <w:p w:rsidR="00B33516" w:rsidRPr="00090CDE" w:rsidRDefault="00E9596D" w:rsidP="00E9596D">
      <w:pPr>
        <w:tabs>
          <w:tab w:val="left" w:pos="1482"/>
        </w:tabs>
        <w:spacing w:after="0" w:line="240" w:lineRule="auto"/>
        <w:ind w:firstLine="840"/>
        <w:rPr>
          <w:sz w:val="28"/>
          <w:szCs w:val="28"/>
        </w:rPr>
      </w:pPr>
      <w:r w:rsidRPr="00090CDE">
        <w:rPr>
          <w:sz w:val="28"/>
          <w:szCs w:val="28"/>
        </w:rPr>
        <w:t>Iepriekšējo gadu statistiskā informācija par konstatētajiem vardarbības gadījumiem laika posmā no 2009.gada līdz 2013.gadam, ieskaitot, norāda uz tendenci būtiski pieaugt to personu skaitam, kurām pārtrauktas aizgādības tiesības, ja konstatēta vecāku vardarbība pret bērnu vai ir pamatotas aizdomas par vardarbību pret bērnu. Ja salīdzinoši 2012.gadā aizgādības tiesības pārtrauktas 186 vecākiem, jo viņi izturējušies vardarbīgi pret bērnu (vai pastāvēja aizdomas), tad 2013.gadā bāriņtiesas pieņēmušas lēmumus jau attiecībā uz 216 personām, tātad kopumā par 30 personām vairāk.</w:t>
      </w:r>
      <w:r w:rsidR="00370CC3" w:rsidRPr="00090CDE">
        <w:rPr>
          <w:sz w:val="28"/>
          <w:szCs w:val="28"/>
        </w:rPr>
        <w:t xml:space="preserve"> </w:t>
      </w:r>
    </w:p>
    <w:p w:rsidR="00B33516" w:rsidRPr="00090CDE" w:rsidRDefault="00B33516" w:rsidP="00E9596D">
      <w:pPr>
        <w:tabs>
          <w:tab w:val="left" w:pos="1482"/>
        </w:tabs>
        <w:spacing w:after="0" w:line="240" w:lineRule="auto"/>
        <w:ind w:firstLine="840"/>
        <w:rPr>
          <w:sz w:val="28"/>
          <w:szCs w:val="28"/>
        </w:rPr>
      </w:pPr>
      <w:r w:rsidRPr="00090CDE">
        <w:rPr>
          <w:rFonts w:eastAsia="Times New Roman" w:cs="Times New Roman"/>
          <w:sz w:val="28"/>
          <w:szCs w:val="28"/>
          <w:lang w:eastAsia="lv-LV"/>
        </w:rPr>
        <w:t>Proporcionāli kopējam personu, kurām pārtrauktas aizgādības tiesības, skaita samazinājumam, 2014.gadā samazinājies arī to gadījumu skaits, kad personām pārtrauktas aizgādības tiesības vardarbīgas izturēšanās dēļ. Vadoties no 3.diagrammā apkopotajiem datiem</w:t>
      </w:r>
      <w:r w:rsidRPr="00090CDE">
        <w:rPr>
          <w:sz w:val="28"/>
          <w:szCs w:val="28"/>
        </w:rPr>
        <w:t xml:space="preserve"> par aizgādības tiesību pārtraukšanu vecākiem, konstatējams, ka 2014.gadā aizgādības tiesības pārtrauktas 176 personām, ja konstatēta vecāku vardarbība pret bērnu vai bāriņtiesai bijušas aizdomas par vardarbību ģimenē, t.i. kopumā par 40 personām mazāk nekā 2013.gadā. Iespējams 2014.gada rādītāju </w:t>
      </w:r>
      <w:r w:rsidRPr="00090CDE">
        <w:rPr>
          <w:sz w:val="28"/>
          <w:szCs w:val="28"/>
        </w:rPr>
        <w:lastRenderedPageBreak/>
        <w:t xml:space="preserve">izmaiņas nedaudz ietekmējuši iepriekš minētie spēkā stājušies grozījumi, kas   paredz personas tiesības </w:t>
      </w:r>
      <w:r w:rsidRPr="00090CDE">
        <w:rPr>
          <w:bCs/>
          <w:sz w:val="28"/>
          <w:szCs w:val="28"/>
        </w:rPr>
        <w:t xml:space="preserve">bērna interesēs </w:t>
      </w:r>
      <w:r w:rsidRPr="00090CDE">
        <w:rPr>
          <w:sz w:val="28"/>
          <w:szCs w:val="28"/>
        </w:rPr>
        <w:t xml:space="preserve">vērsties ar pieteikumu tiesā </w:t>
      </w:r>
      <w:r w:rsidRPr="00090CDE">
        <w:rPr>
          <w:bCs/>
          <w:sz w:val="28"/>
          <w:szCs w:val="28"/>
        </w:rPr>
        <w:t>par pagaidu aizsardzību pret vardarbību.</w:t>
      </w:r>
      <w:r w:rsidR="00531CD0" w:rsidRPr="00090CDE">
        <w:rPr>
          <w:bCs/>
          <w:sz w:val="28"/>
          <w:szCs w:val="28"/>
        </w:rPr>
        <w:t xml:space="preserve"> Apkopojot statistikas datus par 2015.gadu, konstat</w:t>
      </w:r>
      <w:r w:rsidR="0003005C" w:rsidRPr="00090CDE">
        <w:rPr>
          <w:bCs/>
          <w:sz w:val="28"/>
          <w:szCs w:val="28"/>
        </w:rPr>
        <w:t>ēts pavisam neliels</w:t>
      </w:r>
      <w:r w:rsidR="00531CD0" w:rsidRPr="00090CDE">
        <w:rPr>
          <w:bCs/>
          <w:sz w:val="28"/>
          <w:szCs w:val="28"/>
        </w:rPr>
        <w:t xml:space="preserve"> </w:t>
      </w:r>
      <w:r w:rsidR="0003005C" w:rsidRPr="00090CDE">
        <w:rPr>
          <w:sz w:val="28"/>
          <w:szCs w:val="28"/>
        </w:rPr>
        <w:t xml:space="preserve">personu, kurām aizgādības tiesības pārtrauktas dēļ vardarbības pret bērnu, skaita </w:t>
      </w:r>
      <w:r w:rsidR="00090CDE">
        <w:rPr>
          <w:sz w:val="28"/>
          <w:szCs w:val="28"/>
        </w:rPr>
        <w:t>palielinājums</w:t>
      </w:r>
      <w:r w:rsidR="0003005C" w:rsidRPr="00090CDE">
        <w:rPr>
          <w:sz w:val="28"/>
          <w:szCs w:val="28"/>
        </w:rPr>
        <w:t>, proti, no 1235</w:t>
      </w:r>
      <w:r w:rsidR="00090CDE">
        <w:rPr>
          <w:sz w:val="28"/>
          <w:szCs w:val="28"/>
        </w:rPr>
        <w:t xml:space="preserve"> personām, kurām kopumā pārskata</w:t>
      </w:r>
      <w:r w:rsidR="0003005C" w:rsidRPr="00090CDE">
        <w:rPr>
          <w:sz w:val="28"/>
          <w:szCs w:val="28"/>
        </w:rPr>
        <w:t xml:space="preserve"> gadā pārtrauktas bērnu aizgādības tiesības, 185 personām pārtrauktas aizgādības tiesības, ja konstatēta vecāku vardarbība pret bērnu vai ir pamatotas aizdomas par vardarbību pret</w:t>
      </w:r>
      <w:r w:rsidR="00B37176">
        <w:rPr>
          <w:sz w:val="28"/>
          <w:szCs w:val="28"/>
        </w:rPr>
        <w:t xml:space="preserve"> bērnu, t.i. par 9 personām vairā</w:t>
      </w:r>
      <w:r w:rsidR="0003005C" w:rsidRPr="00090CDE">
        <w:rPr>
          <w:sz w:val="28"/>
          <w:szCs w:val="28"/>
        </w:rPr>
        <w:t>k nekā 2014.gadā.</w:t>
      </w:r>
    </w:p>
    <w:p w:rsidR="00B33516" w:rsidRPr="00090CDE" w:rsidRDefault="0003005C" w:rsidP="005C6F47">
      <w:pPr>
        <w:tabs>
          <w:tab w:val="left" w:pos="1482"/>
        </w:tabs>
        <w:spacing w:after="0" w:line="240" w:lineRule="auto"/>
        <w:ind w:firstLine="840"/>
        <w:rPr>
          <w:sz w:val="28"/>
          <w:szCs w:val="28"/>
        </w:rPr>
      </w:pPr>
      <w:r w:rsidRPr="00090CDE">
        <w:rPr>
          <w:sz w:val="28"/>
          <w:szCs w:val="28"/>
        </w:rPr>
        <w:t xml:space="preserve">Ņemot vērā iepriekš minēto, secināms, ka rādītāji saistībā ar konstatētajiem vardarbības gadījumiem, ir </w:t>
      </w:r>
      <w:r w:rsidR="00155032">
        <w:rPr>
          <w:sz w:val="28"/>
          <w:szCs w:val="28"/>
        </w:rPr>
        <w:t>mainīgi. Ņemot vērā</w:t>
      </w:r>
      <w:r w:rsidR="0034139F">
        <w:rPr>
          <w:bCs/>
          <w:sz w:val="28"/>
          <w:szCs w:val="28"/>
        </w:rPr>
        <w:t xml:space="preserve"> konstatētos datus par kopējo</w:t>
      </w:r>
      <w:r w:rsidRPr="00090CDE">
        <w:rPr>
          <w:bCs/>
          <w:sz w:val="28"/>
          <w:szCs w:val="28"/>
        </w:rPr>
        <w:t xml:space="preserve"> personu, attiecībā uz kurām pieņemts personai nelabvēlīgs lēmums par bērna aizgādības tiesību p</w:t>
      </w:r>
      <w:r w:rsidR="0034139F">
        <w:rPr>
          <w:bCs/>
          <w:sz w:val="28"/>
          <w:szCs w:val="28"/>
        </w:rPr>
        <w:t>ārtraukšanu, skaitu</w:t>
      </w:r>
      <w:r w:rsidRPr="00090CDE">
        <w:rPr>
          <w:bCs/>
          <w:sz w:val="28"/>
          <w:szCs w:val="28"/>
        </w:rPr>
        <w:t xml:space="preserve">, aizvien nevar izdarīt secinājumus par pozitīvām tendencēm vardarbības kontekstā. </w:t>
      </w:r>
    </w:p>
    <w:p w:rsidR="00A0581C" w:rsidRPr="009649DE" w:rsidRDefault="00D47FC9" w:rsidP="009649DE">
      <w:pPr>
        <w:spacing w:after="0" w:line="360" w:lineRule="auto"/>
        <w:jc w:val="right"/>
        <w:rPr>
          <w:rFonts w:eastAsia="Times New Roman" w:cs="Times New Roman"/>
          <w:b/>
          <w:sz w:val="26"/>
          <w:szCs w:val="26"/>
          <w:lang w:eastAsia="lv-LV"/>
        </w:rPr>
      </w:pPr>
      <w:r w:rsidRPr="00090CDE">
        <w:rPr>
          <w:rFonts w:eastAsia="Times New Roman" w:cs="Times New Roman"/>
          <w:b/>
          <w:sz w:val="26"/>
          <w:szCs w:val="26"/>
          <w:lang w:eastAsia="lv-LV"/>
        </w:rPr>
        <w:t>3</w:t>
      </w:r>
      <w:r w:rsidR="005C6F47" w:rsidRPr="00090CDE">
        <w:rPr>
          <w:rFonts w:eastAsia="Times New Roman" w:cs="Times New Roman"/>
          <w:b/>
          <w:sz w:val="26"/>
          <w:szCs w:val="26"/>
          <w:lang w:eastAsia="lv-LV"/>
        </w:rPr>
        <w:t>.diagramma</w:t>
      </w:r>
    </w:p>
    <w:p w:rsidR="00A0581C" w:rsidRPr="00090CDE" w:rsidRDefault="00A0581C" w:rsidP="005C6F47">
      <w:pPr>
        <w:tabs>
          <w:tab w:val="left" w:pos="1482"/>
        </w:tabs>
        <w:spacing w:after="0" w:line="240" w:lineRule="auto"/>
        <w:ind w:firstLine="840"/>
        <w:rPr>
          <w:rFonts w:eastAsia="Times New Roman" w:cs="Times New Roman"/>
          <w:sz w:val="28"/>
          <w:szCs w:val="28"/>
          <w:lang w:eastAsia="lv-LV"/>
        </w:rPr>
      </w:pPr>
      <w:r w:rsidRPr="00090CDE">
        <w:rPr>
          <w:noProof/>
          <w:lang w:val="en-GB" w:eastAsia="en-GB"/>
        </w:rPr>
        <w:drawing>
          <wp:inline distT="0" distB="0" distL="0" distR="0" wp14:anchorId="6A2ACA65" wp14:editId="06A38007">
            <wp:extent cx="5229225" cy="2838450"/>
            <wp:effectExtent l="0" t="0" r="9525"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A0817" w:rsidRPr="00090CDE" w:rsidRDefault="006A0817" w:rsidP="00C7350B">
      <w:pPr>
        <w:tabs>
          <w:tab w:val="left" w:pos="1482"/>
        </w:tabs>
        <w:spacing w:after="0" w:line="240" w:lineRule="auto"/>
        <w:rPr>
          <w:sz w:val="28"/>
          <w:szCs w:val="28"/>
        </w:rPr>
      </w:pPr>
    </w:p>
    <w:p w:rsidR="00C5532F" w:rsidRPr="00090CDE" w:rsidRDefault="00C7350B" w:rsidP="00C7350B">
      <w:pPr>
        <w:tabs>
          <w:tab w:val="left" w:pos="1482"/>
        </w:tabs>
        <w:spacing w:after="0" w:line="240" w:lineRule="auto"/>
        <w:ind w:firstLine="839"/>
        <w:rPr>
          <w:sz w:val="28"/>
          <w:szCs w:val="28"/>
        </w:rPr>
      </w:pPr>
      <w:r w:rsidRPr="00090CDE">
        <w:rPr>
          <w:sz w:val="28"/>
          <w:szCs w:val="28"/>
        </w:rPr>
        <w:t xml:space="preserve">Bāriņtiesu likuma 17.panta 4.punktā paredzēts bāriņtiesas pienākums sadarboties ar policijas iestādēm, lai nodrošinātu bērna tiesību un interešu aizstāvību. Savukārt </w:t>
      </w:r>
      <w:r w:rsidR="00FA300A" w:rsidRPr="00090CDE">
        <w:rPr>
          <w:sz w:val="28"/>
          <w:szCs w:val="28"/>
        </w:rPr>
        <w:t>Bērnu tiesību aizsardzības likuma 51.pantā noteikts, ka par vardarbību pret bērnu, par bērna pamudināšanu vai piespiešanu piedalīties seksuālās darbībās, par bērna izmantošanu vai iesaistīšanu prostitūcijā vainīgās personas saucamas pie likumā noteiktās atbildības. Katrai personai ir pienākums ziņot policijai vai citai kompetentai iestādei par vardarbību vai citu pret bērnu vērstu noziedzīgu nodarījumu. Par neziņošanu vainīgās personas saucamas p</w:t>
      </w:r>
      <w:r w:rsidR="00CD7074" w:rsidRPr="00090CDE">
        <w:rPr>
          <w:sz w:val="28"/>
          <w:szCs w:val="28"/>
        </w:rPr>
        <w:t>ie likumā noteiktās atbildības.</w:t>
      </w:r>
    </w:p>
    <w:p w:rsidR="002A7800" w:rsidRPr="00090CDE" w:rsidRDefault="008E568E" w:rsidP="002A7800">
      <w:pPr>
        <w:spacing w:after="0" w:line="240" w:lineRule="auto"/>
        <w:ind w:firstLine="720"/>
        <w:rPr>
          <w:rFonts w:eastAsia="Times New Roman" w:cs="Times New Roman"/>
          <w:sz w:val="28"/>
          <w:szCs w:val="28"/>
          <w:lang w:eastAsia="lv-LV"/>
        </w:rPr>
      </w:pPr>
      <w:r w:rsidRPr="00090CDE">
        <w:rPr>
          <w:rFonts w:eastAsia="Times New Roman" w:cs="Times New Roman"/>
          <w:sz w:val="28"/>
          <w:szCs w:val="28"/>
          <w:lang w:eastAsia="lv-LV"/>
        </w:rPr>
        <w:t xml:space="preserve">Bāriņtiesu ikgada pārskatos par darbu apkopotā statistiskā informācija norāda uz to, ka </w:t>
      </w:r>
      <w:r w:rsidR="002C14A9" w:rsidRPr="00090CDE">
        <w:rPr>
          <w:rFonts w:eastAsia="Times New Roman" w:cs="Times New Roman"/>
          <w:sz w:val="28"/>
          <w:szCs w:val="28"/>
          <w:lang w:eastAsia="lv-LV"/>
        </w:rPr>
        <w:t xml:space="preserve">2012.gadā bāriņtiesa informējusi tiesībsargājošās institūcijas par 117 personām, kurām pārtrauktas bērnu aizgādības tiesības, ja konstatēta vecāku vardarbība pret bērnu vai ir pamatotas aizdomas par vardarbību pret bērnu. </w:t>
      </w:r>
      <w:r w:rsidRPr="00090CDE">
        <w:rPr>
          <w:rFonts w:eastAsia="Times New Roman" w:cs="Times New Roman"/>
          <w:sz w:val="28"/>
          <w:szCs w:val="28"/>
          <w:lang w:eastAsia="lv-LV"/>
        </w:rPr>
        <w:t xml:space="preserve">2013.gadā bāriņtiesa tiesībsargājošās institūcijas </w:t>
      </w:r>
      <w:r w:rsidR="002C14A9" w:rsidRPr="00090CDE">
        <w:rPr>
          <w:rFonts w:eastAsia="Times New Roman" w:cs="Times New Roman"/>
          <w:sz w:val="28"/>
          <w:szCs w:val="28"/>
          <w:lang w:eastAsia="lv-LV"/>
        </w:rPr>
        <w:t xml:space="preserve">informējusi jau </w:t>
      </w:r>
      <w:r w:rsidRPr="00090CDE">
        <w:rPr>
          <w:rFonts w:eastAsia="Times New Roman" w:cs="Times New Roman"/>
          <w:sz w:val="28"/>
          <w:szCs w:val="28"/>
          <w:lang w:eastAsia="lv-LV"/>
        </w:rPr>
        <w:t>par 133</w:t>
      </w:r>
      <w:r w:rsidR="002C14A9" w:rsidRPr="00090CDE">
        <w:rPr>
          <w:rFonts w:eastAsia="Times New Roman" w:cs="Times New Roman"/>
          <w:sz w:val="28"/>
          <w:szCs w:val="28"/>
          <w:lang w:eastAsia="lv-LV"/>
        </w:rPr>
        <w:t xml:space="preserve"> šādām personām. Savukārt 2014.gadā minētā informācija sniegta par 104 personām, proti, vecākiem, kas ir par </w:t>
      </w:r>
      <w:r w:rsidR="002A7800" w:rsidRPr="00090CDE">
        <w:rPr>
          <w:rFonts w:eastAsia="Times New Roman" w:cs="Times New Roman"/>
          <w:sz w:val="28"/>
          <w:szCs w:val="28"/>
          <w:lang w:eastAsia="lv-LV"/>
        </w:rPr>
        <w:t>29 personām mazāk kā 2013.</w:t>
      </w:r>
      <w:r w:rsidR="002C14A9" w:rsidRPr="00090CDE">
        <w:rPr>
          <w:rFonts w:eastAsia="Times New Roman" w:cs="Times New Roman"/>
          <w:sz w:val="28"/>
          <w:szCs w:val="28"/>
          <w:lang w:eastAsia="lv-LV"/>
        </w:rPr>
        <w:t>gadā. (Skat.5</w:t>
      </w:r>
      <w:r w:rsidR="003A6FB8" w:rsidRPr="00090CDE">
        <w:rPr>
          <w:rFonts w:eastAsia="Times New Roman" w:cs="Times New Roman"/>
          <w:sz w:val="28"/>
          <w:szCs w:val="28"/>
          <w:lang w:eastAsia="lv-LV"/>
        </w:rPr>
        <w:t>.diagammu).</w:t>
      </w:r>
      <w:r w:rsidRPr="00090CDE">
        <w:rPr>
          <w:rFonts w:eastAsia="Times New Roman" w:cs="Times New Roman"/>
          <w:sz w:val="28"/>
          <w:szCs w:val="28"/>
          <w:lang w:eastAsia="lv-LV"/>
        </w:rPr>
        <w:t xml:space="preserve"> </w:t>
      </w:r>
      <w:r w:rsidR="002A7800" w:rsidRPr="00090CDE">
        <w:rPr>
          <w:rFonts w:eastAsia="Times New Roman" w:cs="Times New Roman"/>
          <w:sz w:val="28"/>
          <w:szCs w:val="28"/>
          <w:lang w:eastAsia="lv-LV"/>
        </w:rPr>
        <w:t xml:space="preserve">Analizējot </w:t>
      </w:r>
      <w:r w:rsidR="002A7800" w:rsidRPr="00090CDE">
        <w:rPr>
          <w:rFonts w:eastAsia="Times New Roman" w:cs="Times New Roman"/>
          <w:sz w:val="28"/>
          <w:szCs w:val="28"/>
          <w:lang w:eastAsia="lv-LV"/>
        </w:rPr>
        <w:lastRenderedPageBreak/>
        <w:t>statistikas datus par 2015.gadu, konstatēts, ka šī gada ietvaros bāriņtiesas tiesībsargājošās institūcijas informējušas par 114 personām, t.i. par 10 personām vairāk kā iepriekšējā gadā.</w:t>
      </w:r>
    </w:p>
    <w:p w:rsidR="001D168A" w:rsidRPr="00090CDE" w:rsidRDefault="002C14A9" w:rsidP="002C14A9">
      <w:pPr>
        <w:spacing w:after="0" w:line="240" w:lineRule="auto"/>
        <w:ind w:firstLine="720"/>
        <w:rPr>
          <w:rFonts w:eastAsia="Times New Roman" w:cs="Times New Roman"/>
          <w:sz w:val="28"/>
          <w:szCs w:val="28"/>
          <w:lang w:eastAsia="lv-LV"/>
        </w:rPr>
      </w:pPr>
      <w:r w:rsidRPr="00090CDE">
        <w:rPr>
          <w:rFonts w:eastAsia="Times New Roman" w:cs="Times New Roman"/>
          <w:sz w:val="28"/>
          <w:szCs w:val="28"/>
          <w:lang w:eastAsia="lv-LV"/>
        </w:rPr>
        <w:t>I</w:t>
      </w:r>
      <w:r w:rsidR="002A2044" w:rsidRPr="00090CDE">
        <w:rPr>
          <w:sz w:val="28"/>
          <w:szCs w:val="28"/>
        </w:rPr>
        <w:t>nformāciju tiesībsargā</w:t>
      </w:r>
      <w:r w:rsidR="00E16C59" w:rsidRPr="00090CDE">
        <w:rPr>
          <w:sz w:val="28"/>
          <w:szCs w:val="28"/>
        </w:rPr>
        <w:t xml:space="preserve">jošajām iestādēm par vardarbību pret </w:t>
      </w:r>
      <w:r w:rsidR="002A2044" w:rsidRPr="00090CDE">
        <w:rPr>
          <w:sz w:val="28"/>
          <w:szCs w:val="28"/>
        </w:rPr>
        <w:t>bērnu jau var būt snieguši bērna radinieki, izglītības iestādes, ārstniecības iestādes u.tml., līdz ar to</w:t>
      </w:r>
      <w:r w:rsidR="002A3D3F" w:rsidRPr="00090CDE">
        <w:rPr>
          <w:sz w:val="28"/>
          <w:szCs w:val="28"/>
        </w:rPr>
        <w:t xml:space="preserve"> rādītāji par vecākiem, kuriem pārtrauktas aizgādības tiesības dēļ vardarbības var atšķirties no rādītājiem par </w:t>
      </w:r>
      <w:r w:rsidR="009B0CAB" w:rsidRPr="00090CDE">
        <w:rPr>
          <w:sz w:val="28"/>
          <w:szCs w:val="28"/>
        </w:rPr>
        <w:t xml:space="preserve">gadījumu </w:t>
      </w:r>
      <w:r w:rsidR="001D1E8F" w:rsidRPr="00090CDE">
        <w:rPr>
          <w:sz w:val="28"/>
          <w:szCs w:val="28"/>
        </w:rPr>
        <w:t>skaitu, kuros par bērnu tiesību pārkāpumiem</w:t>
      </w:r>
      <w:r w:rsidR="009B0CAB" w:rsidRPr="00090CDE">
        <w:rPr>
          <w:sz w:val="28"/>
          <w:szCs w:val="28"/>
        </w:rPr>
        <w:t xml:space="preserve"> informētas tiesībsargājošās institūcijas. </w:t>
      </w:r>
    </w:p>
    <w:p w:rsidR="00CB348C" w:rsidRPr="00D00367" w:rsidRDefault="005C6F47" w:rsidP="00D00367">
      <w:pPr>
        <w:spacing w:after="0" w:line="360" w:lineRule="auto"/>
        <w:jc w:val="right"/>
        <w:rPr>
          <w:rFonts w:eastAsia="Times New Roman" w:cs="Times New Roman"/>
          <w:b/>
          <w:sz w:val="26"/>
          <w:szCs w:val="26"/>
          <w:lang w:eastAsia="lv-LV"/>
        </w:rPr>
      </w:pPr>
      <w:r w:rsidRPr="00090CDE">
        <w:rPr>
          <w:rFonts w:eastAsia="Times New Roman" w:cs="Times New Roman"/>
          <w:b/>
          <w:sz w:val="26"/>
          <w:szCs w:val="26"/>
          <w:lang w:eastAsia="lv-LV"/>
        </w:rPr>
        <w:t>4</w:t>
      </w:r>
      <w:r w:rsidR="00276133" w:rsidRPr="00090CDE">
        <w:rPr>
          <w:rFonts w:eastAsia="Times New Roman" w:cs="Times New Roman"/>
          <w:b/>
          <w:sz w:val="26"/>
          <w:szCs w:val="26"/>
          <w:lang w:eastAsia="lv-LV"/>
        </w:rPr>
        <w:t>.diagramma</w:t>
      </w:r>
    </w:p>
    <w:p w:rsidR="00CB348C" w:rsidRPr="00090CDE" w:rsidRDefault="00CB348C" w:rsidP="005C6F47">
      <w:pPr>
        <w:tabs>
          <w:tab w:val="left" w:pos="1482"/>
        </w:tabs>
        <w:spacing w:after="0" w:line="240" w:lineRule="auto"/>
        <w:jc w:val="center"/>
        <w:rPr>
          <w:sz w:val="28"/>
          <w:szCs w:val="28"/>
        </w:rPr>
      </w:pPr>
      <w:r w:rsidRPr="00090CDE">
        <w:rPr>
          <w:noProof/>
          <w:lang w:val="en-GB" w:eastAsia="en-GB"/>
        </w:rPr>
        <w:drawing>
          <wp:inline distT="0" distB="0" distL="0" distR="0" wp14:anchorId="49733F45" wp14:editId="654F12C8">
            <wp:extent cx="4953000" cy="264795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B348C" w:rsidRPr="00090CDE" w:rsidRDefault="00CB348C" w:rsidP="00276133">
      <w:pPr>
        <w:tabs>
          <w:tab w:val="left" w:pos="1482"/>
        </w:tabs>
        <w:spacing w:after="0" w:line="240" w:lineRule="auto"/>
        <w:rPr>
          <w:sz w:val="28"/>
          <w:szCs w:val="28"/>
        </w:rPr>
      </w:pPr>
    </w:p>
    <w:p w:rsidR="00C26813" w:rsidRPr="00090CDE" w:rsidRDefault="00C26813" w:rsidP="00BE677F">
      <w:pPr>
        <w:pStyle w:val="Heading3"/>
        <w:jc w:val="center"/>
        <w:rPr>
          <w:rFonts w:ascii="Times New Roman" w:hAnsi="Times New Roman" w:cs="Times New Roman"/>
          <w:b/>
          <w:color w:val="auto"/>
        </w:rPr>
      </w:pPr>
      <w:bookmarkStart w:id="4" w:name="_Toc455138982"/>
      <w:r w:rsidRPr="00090CDE">
        <w:rPr>
          <w:rFonts w:ascii="Times New Roman" w:hAnsi="Times New Roman" w:cs="Times New Roman"/>
          <w:b/>
          <w:color w:val="auto"/>
        </w:rPr>
        <w:t>2.1.2.</w:t>
      </w:r>
      <w:r w:rsidR="00BE677F" w:rsidRPr="00090CDE">
        <w:rPr>
          <w:rFonts w:ascii="Times New Roman" w:hAnsi="Times New Roman" w:cs="Times New Roman"/>
          <w:b/>
          <w:color w:val="auto"/>
        </w:rPr>
        <w:t>Aizgādības tiesību pārtraukšana, pieņemot vienpersonisku lēmumu.</w:t>
      </w:r>
      <w:bookmarkEnd w:id="4"/>
    </w:p>
    <w:p w:rsidR="00C26813" w:rsidRPr="00090CDE" w:rsidRDefault="00C26813" w:rsidP="00BE677F">
      <w:pPr>
        <w:tabs>
          <w:tab w:val="left" w:pos="1482"/>
        </w:tabs>
        <w:spacing w:after="0" w:line="240" w:lineRule="auto"/>
        <w:jc w:val="center"/>
        <w:rPr>
          <w:sz w:val="28"/>
          <w:szCs w:val="28"/>
        </w:rPr>
      </w:pPr>
    </w:p>
    <w:p w:rsidR="00C26813" w:rsidRPr="00090CDE" w:rsidRDefault="003D1346" w:rsidP="00441CA7">
      <w:pPr>
        <w:rPr>
          <w:sz w:val="28"/>
          <w:szCs w:val="28"/>
        </w:rPr>
      </w:pPr>
      <w:r w:rsidRPr="00090CDE">
        <w:tab/>
      </w:r>
      <w:r w:rsidRPr="00090CDE">
        <w:rPr>
          <w:sz w:val="28"/>
          <w:szCs w:val="28"/>
        </w:rPr>
        <w:t>Bāriņtiesu likuma regulējums paredz konkrētu bāriņtiesas rīcību gadījumos</w:t>
      </w:r>
      <w:r w:rsidR="00BA6E52" w:rsidRPr="00090CDE">
        <w:rPr>
          <w:sz w:val="28"/>
          <w:szCs w:val="28"/>
        </w:rPr>
        <w:t>, kad bāriņtiesa</w:t>
      </w:r>
      <w:r w:rsidR="00724A2D" w:rsidRPr="00090CDE">
        <w:rPr>
          <w:sz w:val="28"/>
          <w:szCs w:val="28"/>
        </w:rPr>
        <w:t xml:space="preserve"> ģimenē</w:t>
      </w:r>
      <w:r w:rsidR="00BA6E52" w:rsidRPr="00090CDE">
        <w:rPr>
          <w:sz w:val="28"/>
          <w:szCs w:val="28"/>
        </w:rPr>
        <w:t xml:space="preserve"> konstatē dzīv</w:t>
      </w:r>
      <w:r w:rsidR="00D00367">
        <w:rPr>
          <w:sz w:val="28"/>
          <w:szCs w:val="28"/>
        </w:rPr>
        <w:t xml:space="preserve">ības un veselības apdraudējumu </w:t>
      </w:r>
      <w:r w:rsidR="00BA6E52" w:rsidRPr="00090CDE">
        <w:rPr>
          <w:sz w:val="28"/>
          <w:szCs w:val="28"/>
        </w:rPr>
        <w:t>(arī iespējamu) bērnam</w:t>
      </w:r>
      <w:r w:rsidR="00724A2D" w:rsidRPr="00090CDE">
        <w:rPr>
          <w:sz w:val="28"/>
          <w:szCs w:val="28"/>
        </w:rPr>
        <w:t>, proti, šajos gadījumos bāriņtiesas darbība un atbalsta sniegšana vajadzības gadījumā primāri vērsta uz bērna nogādāšanu drošos apstākļos, kā arī attiecīga lēmuma, proti, vienpersoniska lēmuma par aizgādības tiesību pārtraukšanu vecākam (minēto lēmumu izpilda nekavējoties) pieņemšanu bērna interesēs, tādējādi pasargājot bērnu no turpmākajiem iespējamiem bērna tiesību pārkāpumiem.</w:t>
      </w:r>
    </w:p>
    <w:p w:rsidR="00D9618B" w:rsidRPr="00090CDE" w:rsidRDefault="00036187" w:rsidP="00D9618B">
      <w:pPr>
        <w:spacing w:after="0"/>
        <w:rPr>
          <w:sz w:val="28"/>
          <w:szCs w:val="28"/>
        </w:rPr>
      </w:pPr>
      <w:r w:rsidRPr="00090CDE">
        <w:tab/>
      </w:r>
      <w:r w:rsidRPr="00090CDE">
        <w:rPr>
          <w:sz w:val="28"/>
          <w:szCs w:val="28"/>
        </w:rPr>
        <w:t>Atbilstoši Bāriņtiesu likuma 23.panta 2.</w:t>
      </w:r>
      <w:r w:rsidRPr="00090CDE">
        <w:rPr>
          <w:sz w:val="28"/>
          <w:szCs w:val="28"/>
          <w:vertAlign w:val="superscript"/>
        </w:rPr>
        <w:t>1</w:t>
      </w:r>
      <w:r w:rsidRPr="00090CDE">
        <w:rPr>
          <w:sz w:val="28"/>
          <w:szCs w:val="28"/>
        </w:rPr>
        <w:t xml:space="preserve"> </w:t>
      </w:r>
      <w:r w:rsidR="00D9618B" w:rsidRPr="00090CDE">
        <w:rPr>
          <w:sz w:val="28"/>
          <w:szCs w:val="28"/>
        </w:rPr>
        <w:t xml:space="preserve">daļā noteiktajam, bāriņtiesa pirms vienpersoniska lēmuma pieņemšanas par bērna šķiršanu no ģimenes primāri izvērtē iespējas novērst dzīvības un veselības apdraudējumu bērnam, paliekot ģimenē, un, ja to nav iespējams novērst ar līdzekļiem </w:t>
      </w:r>
      <w:r w:rsidR="00D9618B" w:rsidRPr="00090CDE">
        <w:rPr>
          <w:sz w:val="22"/>
        </w:rPr>
        <w:t>(pagaidu aizsardzība pret vardarbību, bērna nodošana citas personas, ar kuru bērnam ir emocionāla saikne, īslaicīgā aprūpē drošos apstākļos u.tml.)</w:t>
      </w:r>
      <w:r w:rsidR="00D9618B" w:rsidRPr="00090CDE">
        <w:rPr>
          <w:sz w:val="28"/>
          <w:szCs w:val="28"/>
        </w:rPr>
        <w:t>, kuri mazāk ierobežo bērna tiesības uzaugt ģimenē, tā lemj par bērna šķiršanu no ģimenes.</w:t>
      </w:r>
    </w:p>
    <w:p w:rsidR="00A30EC1" w:rsidRDefault="00724A2D" w:rsidP="00A30EC1">
      <w:pPr>
        <w:spacing w:after="0"/>
        <w:ind w:firstLine="709"/>
        <w:rPr>
          <w:sz w:val="28"/>
          <w:szCs w:val="28"/>
        </w:rPr>
      </w:pPr>
      <w:r w:rsidRPr="00090CDE">
        <w:rPr>
          <w:sz w:val="28"/>
          <w:szCs w:val="28"/>
        </w:rPr>
        <w:t xml:space="preserve">Bāriņtiesu likuma 24.panta pirmajā daļā noteiktais regulē tālāko bāriņtiesas rīcību, proti, ne vēlāk kā </w:t>
      </w:r>
      <w:r w:rsidRPr="00090CDE">
        <w:rPr>
          <w:rStyle w:val="Strong"/>
          <w:b w:val="0"/>
          <w:sz w:val="28"/>
          <w:szCs w:val="28"/>
        </w:rPr>
        <w:t>15 dienu laikā</w:t>
      </w:r>
      <w:r w:rsidRPr="00090CDE">
        <w:rPr>
          <w:sz w:val="28"/>
          <w:szCs w:val="28"/>
        </w:rPr>
        <w:t xml:space="preserve"> pēc vienpersoniska lēmuma pieņemšanas sasaucama bāriņtiesas sēde, lai koleģiāli lemtu par pārtraukto aizgādības tiesību </w:t>
      </w:r>
      <w:r w:rsidR="00C55ADA" w:rsidRPr="00090CDE">
        <w:rPr>
          <w:sz w:val="28"/>
          <w:szCs w:val="28"/>
        </w:rPr>
        <w:t xml:space="preserve">atjaunošanu </w:t>
      </w:r>
      <w:r w:rsidRPr="00090CDE">
        <w:rPr>
          <w:sz w:val="28"/>
          <w:szCs w:val="28"/>
        </w:rPr>
        <w:t>vecākam vai bērna ārpusģimenes aprūpes nodrošināšanu</w:t>
      </w:r>
      <w:r w:rsidR="00C55ADA" w:rsidRPr="00090CDE">
        <w:rPr>
          <w:sz w:val="28"/>
          <w:szCs w:val="28"/>
        </w:rPr>
        <w:t xml:space="preserve">, ja nav </w:t>
      </w:r>
      <w:r w:rsidR="00C55ADA" w:rsidRPr="00090CDE">
        <w:rPr>
          <w:sz w:val="28"/>
          <w:szCs w:val="28"/>
        </w:rPr>
        <w:lastRenderedPageBreak/>
        <w:t>iespējams bērna vecākiem atjaunot pārtrauktās aizgādības tiesības</w:t>
      </w:r>
      <w:r w:rsidRPr="00090CDE">
        <w:rPr>
          <w:sz w:val="28"/>
          <w:szCs w:val="28"/>
        </w:rPr>
        <w:t xml:space="preserve">. </w:t>
      </w:r>
      <w:r w:rsidR="00036187" w:rsidRPr="00090CDE">
        <w:rPr>
          <w:sz w:val="28"/>
          <w:szCs w:val="28"/>
        </w:rPr>
        <w:t>Tādējādi secināms, ka vienpersonisks bāriņtiesas amatpersonas lēmums ir pagaidu risinājums, jo nākamo 15 dienu laikā bāriņtiesai ir pienākums objektīvi un vispusīgi noskaidrot apstākļus par turpmāku vecāka iespēju īstenot bērna aprūpi atbilstoši bērna vislabākajām interesēm. Respektīvi, vienpersoniskā lēmuma mērķis ir noregulēt situāciju tikai līdz koleģiālā lēmuma pieņemšanai par aizgādības tiesībām.</w:t>
      </w:r>
      <w:r w:rsidR="00D9618B" w:rsidRPr="00090CDE">
        <w:rPr>
          <w:sz w:val="28"/>
          <w:szCs w:val="28"/>
        </w:rPr>
        <w:t xml:space="preserve"> </w:t>
      </w:r>
    </w:p>
    <w:p w:rsidR="00A30EC1" w:rsidRPr="00A30EC1" w:rsidRDefault="00A30EC1" w:rsidP="00A30EC1">
      <w:pPr>
        <w:spacing w:after="0"/>
        <w:ind w:firstLine="709"/>
        <w:rPr>
          <w:sz w:val="16"/>
          <w:szCs w:val="16"/>
        </w:rPr>
      </w:pPr>
    </w:p>
    <w:p w:rsidR="00C26813" w:rsidRPr="00090CDE" w:rsidRDefault="00ED5E33" w:rsidP="00ED5E33">
      <w:pPr>
        <w:spacing w:after="0" w:line="360" w:lineRule="auto"/>
        <w:jc w:val="right"/>
        <w:rPr>
          <w:rFonts w:eastAsia="Times New Roman" w:cs="Times New Roman"/>
          <w:b/>
          <w:sz w:val="26"/>
          <w:szCs w:val="26"/>
          <w:lang w:eastAsia="lv-LV"/>
        </w:rPr>
      </w:pPr>
      <w:r w:rsidRPr="00090CDE">
        <w:rPr>
          <w:rFonts w:eastAsia="Times New Roman" w:cs="Times New Roman"/>
          <w:b/>
          <w:sz w:val="26"/>
          <w:szCs w:val="26"/>
          <w:lang w:eastAsia="lv-LV"/>
        </w:rPr>
        <w:t>5.diagramma</w:t>
      </w:r>
    </w:p>
    <w:p w:rsidR="00C26813" w:rsidRPr="00090CDE" w:rsidRDefault="00ED5E33" w:rsidP="00ED5E33">
      <w:pPr>
        <w:tabs>
          <w:tab w:val="left" w:pos="1482"/>
        </w:tabs>
        <w:spacing w:after="0" w:line="240" w:lineRule="auto"/>
        <w:jc w:val="center"/>
        <w:rPr>
          <w:sz w:val="28"/>
          <w:szCs w:val="28"/>
        </w:rPr>
      </w:pPr>
      <w:r w:rsidRPr="00090CDE">
        <w:rPr>
          <w:noProof/>
          <w:lang w:val="en-GB" w:eastAsia="en-GB"/>
        </w:rPr>
        <w:drawing>
          <wp:inline distT="0" distB="0" distL="0" distR="0" wp14:anchorId="25905EE5" wp14:editId="2E9541AC">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26813" w:rsidRPr="00090CDE" w:rsidRDefault="00C26813" w:rsidP="00276133">
      <w:pPr>
        <w:tabs>
          <w:tab w:val="left" w:pos="1482"/>
        </w:tabs>
        <w:spacing w:after="0" w:line="240" w:lineRule="auto"/>
        <w:rPr>
          <w:sz w:val="28"/>
          <w:szCs w:val="28"/>
        </w:rPr>
      </w:pPr>
    </w:p>
    <w:p w:rsidR="00ED5E33" w:rsidRPr="00090CDE" w:rsidRDefault="00ED5E33" w:rsidP="00276133">
      <w:pPr>
        <w:tabs>
          <w:tab w:val="left" w:pos="1482"/>
        </w:tabs>
        <w:spacing w:after="0" w:line="240" w:lineRule="auto"/>
        <w:rPr>
          <w:sz w:val="28"/>
          <w:szCs w:val="28"/>
        </w:rPr>
      </w:pPr>
      <w:r w:rsidRPr="00090CDE">
        <w:rPr>
          <w:sz w:val="28"/>
          <w:szCs w:val="28"/>
        </w:rPr>
        <w:t xml:space="preserve">           Analizējot pēdējo četru gadu statistiskos datus attiecībā uz </w:t>
      </w:r>
      <w:r w:rsidR="0012432F">
        <w:rPr>
          <w:sz w:val="28"/>
          <w:szCs w:val="28"/>
        </w:rPr>
        <w:t xml:space="preserve">vienpersonisku </w:t>
      </w:r>
      <w:r w:rsidRPr="00090CDE">
        <w:rPr>
          <w:sz w:val="28"/>
          <w:szCs w:val="28"/>
        </w:rPr>
        <w:t xml:space="preserve">lēmumu skaitu par bērna aizgādības tiesību pārtraukšanu vecākiem, ik gadu konstatējams attiecīgo lēmumu skaita samazinājums. Proti, 2012.gadā pieņemti 682 vienpersoniski lēmumi, </w:t>
      </w:r>
      <w:r w:rsidR="009E0474" w:rsidRPr="00090CDE">
        <w:rPr>
          <w:sz w:val="28"/>
          <w:szCs w:val="28"/>
        </w:rPr>
        <w:t xml:space="preserve">2013.gadā pieņemti 603 vienpersoniski lēmumi, t.i. par 79 lēmumiem mazāk nekā 2012.gadā. Savukārt 2014.gadā konstatējams vislielākais vienpersonisko lēmumu (par aizgādādības tiesību pārtraukšanu) skaita samazinājums, proti, bāriņtiesas savas kompetences ietvaros pieņēmušas 460 vienpersoniskus lēmumus, t.i. par 143 lēmumiem mazāk nekā 2013.gadā un par 222 lēmumiem mazāk nekā 2012.gadā. Konstatēts, ka 2015.gadā bāriņtiesas pieņēmušas 381 </w:t>
      </w:r>
      <w:r w:rsidR="001B3306">
        <w:rPr>
          <w:sz w:val="28"/>
          <w:szCs w:val="28"/>
        </w:rPr>
        <w:t xml:space="preserve">vienpersonisku </w:t>
      </w:r>
      <w:r w:rsidR="009E0474" w:rsidRPr="00090CDE">
        <w:rPr>
          <w:sz w:val="28"/>
          <w:szCs w:val="28"/>
        </w:rPr>
        <w:t xml:space="preserve">lēmumu pr bērnu aizgādības tiesību pārtraukšanu vecākiem, t.i. par 79 lēmumiem mazāk nekā 2014.gadā. </w:t>
      </w:r>
    </w:p>
    <w:p w:rsidR="009E0474" w:rsidRPr="00090CDE" w:rsidRDefault="009E0474" w:rsidP="00276133">
      <w:pPr>
        <w:tabs>
          <w:tab w:val="left" w:pos="1482"/>
        </w:tabs>
        <w:spacing w:after="0" w:line="240" w:lineRule="auto"/>
        <w:rPr>
          <w:rFonts w:eastAsia="Times New Roman" w:cs="Times New Roman"/>
          <w:sz w:val="28"/>
          <w:szCs w:val="28"/>
          <w:lang w:eastAsia="lv-LV"/>
        </w:rPr>
      </w:pPr>
      <w:r w:rsidRPr="00090CDE">
        <w:rPr>
          <w:sz w:val="28"/>
          <w:szCs w:val="28"/>
        </w:rPr>
        <w:t xml:space="preserve">              Iespējams</w:t>
      </w:r>
      <w:r w:rsidR="007F5075">
        <w:rPr>
          <w:sz w:val="28"/>
          <w:szCs w:val="28"/>
        </w:rPr>
        <w:t>,</w:t>
      </w:r>
      <w:r w:rsidRPr="00090CDE">
        <w:rPr>
          <w:sz w:val="28"/>
          <w:szCs w:val="28"/>
        </w:rPr>
        <w:t xml:space="preserve"> minēto statistisko rādītāju izmaiņas s</w:t>
      </w:r>
      <w:r w:rsidR="007D30C2" w:rsidRPr="00090CDE">
        <w:rPr>
          <w:sz w:val="28"/>
          <w:szCs w:val="28"/>
        </w:rPr>
        <w:t>a</w:t>
      </w:r>
      <w:r w:rsidRPr="00090CDE">
        <w:rPr>
          <w:sz w:val="28"/>
          <w:szCs w:val="28"/>
        </w:rPr>
        <w:t>istītas ar spēkā stājušos Civilprocesa likuma regul</w:t>
      </w:r>
      <w:r w:rsidR="007D30C2" w:rsidRPr="00090CDE">
        <w:rPr>
          <w:sz w:val="28"/>
          <w:szCs w:val="28"/>
        </w:rPr>
        <w:t>ējuma</w:t>
      </w:r>
      <w:r w:rsidRPr="00090CDE">
        <w:rPr>
          <w:sz w:val="28"/>
          <w:szCs w:val="28"/>
        </w:rPr>
        <w:t xml:space="preserve"> </w:t>
      </w:r>
      <w:r w:rsidR="007D30C2" w:rsidRPr="00090CDE">
        <w:rPr>
          <w:sz w:val="28"/>
          <w:szCs w:val="28"/>
        </w:rPr>
        <w:t>(</w:t>
      </w:r>
      <w:r w:rsidRPr="00090CDE">
        <w:rPr>
          <w:sz w:val="28"/>
          <w:szCs w:val="28"/>
        </w:rPr>
        <w:t>par pagaidu aizsardzības līdzekļu</w:t>
      </w:r>
      <w:r w:rsidR="007D30C2" w:rsidRPr="00090CDE">
        <w:rPr>
          <w:sz w:val="28"/>
          <w:szCs w:val="28"/>
        </w:rPr>
        <w:t xml:space="preserve"> noteikšanu)</w:t>
      </w:r>
      <w:r w:rsidRPr="00090CDE">
        <w:rPr>
          <w:sz w:val="28"/>
          <w:szCs w:val="28"/>
        </w:rPr>
        <w:t xml:space="preserve"> piemērošanu</w:t>
      </w:r>
      <w:r w:rsidR="007D30C2" w:rsidRPr="00090CDE">
        <w:rPr>
          <w:sz w:val="28"/>
          <w:szCs w:val="28"/>
        </w:rPr>
        <w:t xml:space="preserve"> praksē gadījumos, kad pret bērnu ir vērsta vardarbība vai saņemtas ziņas par iespējamu vardarbību ģimenē. Tāpat, iespējams, skaitliskos rādītājus ietekmējis apstāklis, ka bāriņtiesas, izvērtējot situāciju ģimenē un bērna vislabākās intereses, secinājusi, ka tomēr</w:t>
      </w:r>
      <w:r w:rsidR="007D30C2" w:rsidRPr="00090CDE">
        <w:rPr>
          <w:rFonts w:eastAsia="Times New Roman" w:cs="Times New Roman"/>
          <w:sz w:val="28"/>
          <w:szCs w:val="28"/>
          <w:lang w:eastAsia="lv-LV"/>
        </w:rPr>
        <w:t xml:space="preserve"> iespējams novērst bērna attīstībai nelabvēlīgus apstākļus, bērnam paliekot ģimenē.</w:t>
      </w:r>
    </w:p>
    <w:p w:rsidR="00C26813" w:rsidRDefault="00ED5E33" w:rsidP="007D30C2">
      <w:pPr>
        <w:spacing w:after="0"/>
        <w:ind w:firstLine="709"/>
        <w:rPr>
          <w:sz w:val="28"/>
          <w:szCs w:val="28"/>
        </w:rPr>
      </w:pPr>
      <w:r w:rsidRPr="00090CDE">
        <w:rPr>
          <w:sz w:val="28"/>
          <w:szCs w:val="28"/>
        </w:rPr>
        <w:t>Sīkāku informāciju par bāriņtiesas vienper</w:t>
      </w:r>
      <w:r w:rsidR="007F5075">
        <w:rPr>
          <w:sz w:val="28"/>
          <w:szCs w:val="28"/>
        </w:rPr>
        <w:t>soniskajiem lēmumiem skatīt 57.</w:t>
      </w:r>
      <w:r w:rsidRPr="00090CDE">
        <w:rPr>
          <w:sz w:val="28"/>
          <w:szCs w:val="28"/>
        </w:rPr>
        <w:t xml:space="preserve">lpp. </w:t>
      </w:r>
    </w:p>
    <w:p w:rsidR="007F5075" w:rsidRPr="00090CDE" w:rsidRDefault="007F5075" w:rsidP="007D30C2">
      <w:pPr>
        <w:spacing w:after="0"/>
        <w:ind w:firstLine="709"/>
        <w:rPr>
          <w:sz w:val="28"/>
          <w:szCs w:val="28"/>
        </w:rPr>
      </w:pPr>
    </w:p>
    <w:p w:rsidR="00542F66" w:rsidRPr="00090CDE" w:rsidRDefault="008A2181" w:rsidP="00542F66">
      <w:pPr>
        <w:pStyle w:val="Heading2"/>
      </w:pPr>
      <w:bookmarkStart w:id="5" w:name="_Toc455138983"/>
      <w:r w:rsidRPr="00090CDE">
        <w:lastRenderedPageBreak/>
        <w:t>2</w:t>
      </w:r>
      <w:r w:rsidR="00FF45CE" w:rsidRPr="00090CDE">
        <w:t>.2</w:t>
      </w:r>
      <w:r w:rsidR="00542F66" w:rsidRPr="00090CDE">
        <w:t>.Bērna pārtraukto aizgādības tiesību atjaunošana</w:t>
      </w:r>
      <w:bookmarkEnd w:id="5"/>
    </w:p>
    <w:p w:rsidR="00542F66" w:rsidRPr="00090CDE" w:rsidRDefault="00542F66" w:rsidP="00251F34">
      <w:pPr>
        <w:tabs>
          <w:tab w:val="left" w:pos="1482"/>
        </w:tabs>
        <w:spacing w:after="0" w:line="240" w:lineRule="auto"/>
        <w:rPr>
          <w:sz w:val="16"/>
          <w:szCs w:val="16"/>
        </w:rPr>
      </w:pPr>
    </w:p>
    <w:p w:rsidR="00C333D7" w:rsidRPr="00090CDE" w:rsidRDefault="00C333D7" w:rsidP="00C333D7">
      <w:pPr>
        <w:tabs>
          <w:tab w:val="left" w:pos="1482"/>
        </w:tabs>
        <w:spacing w:after="0" w:line="240" w:lineRule="auto"/>
        <w:ind w:firstLine="839"/>
        <w:rPr>
          <w:sz w:val="28"/>
          <w:szCs w:val="28"/>
        </w:rPr>
      </w:pPr>
      <w:r w:rsidRPr="00090CDE">
        <w:rPr>
          <w:sz w:val="28"/>
          <w:szCs w:val="28"/>
        </w:rPr>
        <w:t xml:space="preserve">Bāriņtiesu likuma 22.panta otrā daļa paredz, ka bāriņtiesa, pieņemot lēmumu par bērna aizgādības tiesību pārtraukšanu vecākam, rakstveidā informē viņu par pienākumu sadarboties ar savas dzīvesvietas pašvaldības sociālo dienestu un citām institūcijām un personām, lai sekmētu </w:t>
      </w:r>
      <w:r w:rsidR="00745593" w:rsidRPr="00090CDE">
        <w:rPr>
          <w:sz w:val="28"/>
          <w:szCs w:val="28"/>
        </w:rPr>
        <w:t xml:space="preserve">bērna atgriešanos ģimenē. </w:t>
      </w:r>
    </w:p>
    <w:p w:rsidR="00542F66" w:rsidRPr="00090CDE" w:rsidRDefault="003F5D70" w:rsidP="00B64090">
      <w:pPr>
        <w:tabs>
          <w:tab w:val="left" w:pos="1482"/>
        </w:tabs>
        <w:spacing w:after="0" w:line="240" w:lineRule="auto"/>
        <w:ind w:firstLine="839"/>
        <w:rPr>
          <w:sz w:val="28"/>
          <w:szCs w:val="28"/>
        </w:rPr>
      </w:pPr>
      <w:r w:rsidRPr="00090CDE">
        <w:rPr>
          <w:sz w:val="28"/>
          <w:szCs w:val="28"/>
        </w:rPr>
        <w:t>Vienlaikus p</w:t>
      </w:r>
      <w:r w:rsidR="00C333D7" w:rsidRPr="00090CDE">
        <w:rPr>
          <w:sz w:val="28"/>
          <w:szCs w:val="28"/>
        </w:rPr>
        <w:t xml:space="preserve">ēc lēmuma pieņemšanas par bērna šķiršanu no ģimenes bāriņtiesas pilnvaru ietvaros ir nekavējoties par pieņemto lēmumu informēt bērna vecāku dzīvesvietas sociālo dienestu un lūgt sniegt nepieciešamo palīdzību bērna vecākiem, kā to nosaka Bāriņtiesu likuma 39.panta pirmā daļa un Bērnu tiesību aizsardzības likuma 27.panta piektā daļa. Normatīvie akti paredz, ka bērna ārpusģimenes aprūpes laikā pašvaldība sniedz izglītojošu, sociālu un citu palīdzību bērna vecākiem, lai sekmētu bērna atgriešanos ģimenē. </w:t>
      </w:r>
      <w:r w:rsidR="003B539F" w:rsidRPr="00090CDE">
        <w:rPr>
          <w:sz w:val="28"/>
          <w:szCs w:val="28"/>
        </w:rPr>
        <w:t xml:space="preserve">Audžuģimene, aizbildnis un bērnu aprūpes iestāde informē vecākus par bērna attīstību un veicina ģimenes saišu atjaunošanos. </w:t>
      </w:r>
      <w:r w:rsidR="00C333D7" w:rsidRPr="00090CDE">
        <w:rPr>
          <w:sz w:val="28"/>
          <w:szCs w:val="28"/>
        </w:rPr>
        <w:t xml:space="preserve">Atbilstoši Bērnu tiesību aizsardzības likuma 27.panta piektajā daļā noteiktajam pašvaldības sociālais dienests kopā ar citām pašvaldības institūcijām, bērna vecākiem un bērna tiesību aizsardzības iestādēm izstrādā ģimenes atbalsta un palīdzības programmu ar nolūku panākt bērna un ģimenes stāvokļa uzlabošanos, īstenojot konkrētus pasākumus, lai bērni varētu atgriezties vecāku aprūpē un turpmāk ģimenē tiktu nodrošināta bērna attīstībai un augšanai labvēlīga vide. </w:t>
      </w:r>
    </w:p>
    <w:p w:rsidR="000168D8" w:rsidRPr="00090CDE" w:rsidRDefault="00A97246" w:rsidP="00172831">
      <w:pPr>
        <w:tabs>
          <w:tab w:val="left" w:pos="1482"/>
        </w:tabs>
        <w:spacing w:after="0" w:line="240" w:lineRule="auto"/>
        <w:ind w:firstLine="839"/>
        <w:rPr>
          <w:sz w:val="28"/>
          <w:szCs w:val="28"/>
        </w:rPr>
      </w:pPr>
      <w:r w:rsidRPr="00090CDE">
        <w:rPr>
          <w:sz w:val="28"/>
          <w:szCs w:val="28"/>
        </w:rPr>
        <w:t>Atbilstoši Bāriņties</w:t>
      </w:r>
      <w:r w:rsidR="004F4175" w:rsidRPr="00090CDE">
        <w:rPr>
          <w:sz w:val="28"/>
          <w:szCs w:val="28"/>
        </w:rPr>
        <w:t xml:space="preserve">u likumā un </w:t>
      </w:r>
      <w:r w:rsidRPr="00090CDE">
        <w:rPr>
          <w:sz w:val="28"/>
          <w:szCs w:val="28"/>
        </w:rPr>
        <w:t>Civi</w:t>
      </w:r>
      <w:r w:rsidR="004F4175" w:rsidRPr="00090CDE">
        <w:rPr>
          <w:sz w:val="28"/>
          <w:szCs w:val="28"/>
        </w:rPr>
        <w:t>llikumā</w:t>
      </w:r>
      <w:r w:rsidRPr="00090CDE">
        <w:rPr>
          <w:sz w:val="28"/>
          <w:szCs w:val="28"/>
        </w:rPr>
        <w:t xml:space="preserve"> noteiktajam, </w:t>
      </w:r>
      <w:r w:rsidR="00B64090" w:rsidRPr="00090CDE">
        <w:rPr>
          <w:sz w:val="28"/>
          <w:szCs w:val="28"/>
        </w:rPr>
        <w:t xml:space="preserve">ja bērna aizgādības tiesību pārtraukšanas iemesli ir zuduši, bāriņtiesa lemj par pārtraukto bērna aizgādības tiesību atjaunošanu. </w:t>
      </w:r>
      <w:r w:rsidR="00E14251" w:rsidRPr="00090CDE">
        <w:rPr>
          <w:sz w:val="28"/>
          <w:szCs w:val="28"/>
        </w:rPr>
        <w:t>Tādējādi, s</w:t>
      </w:r>
      <w:r w:rsidRPr="00090CDE">
        <w:rPr>
          <w:rFonts w:eastAsia="Times New Roman" w:cs="Times New Roman"/>
          <w:sz w:val="28"/>
          <w:szCs w:val="28"/>
          <w:lang w:eastAsia="lv-LV"/>
        </w:rPr>
        <w:t>agatavojot lietu par iespējamu bērna pārtraukto aizgādības tiesību atjaunošanu vecākam,</w:t>
      </w:r>
      <w:r w:rsidR="00E14251" w:rsidRPr="00090CDE">
        <w:rPr>
          <w:rFonts w:eastAsia="Times New Roman" w:cs="Times New Roman"/>
          <w:sz w:val="28"/>
          <w:szCs w:val="28"/>
          <w:lang w:eastAsia="lv-LV"/>
        </w:rPr>
        <w:t xml:space="preserve"> bāriņtiesa primāri pārliecinās, vai nepastāv vairs apstākļi, kas pastāvēja laikā, kad vecākam tika pārtrauktas aizgādības tiesības, kā arī noskaidro, vai nepastāv citi pārtraukto aizgādības tiesību atjaunošanas riski, proti, bāriņtiesa vērtē</w:t>
      </w:r>
      <w:r w:rsidR="00E14251" w:rsidRPr="00090CDE">
        <w:rPr>
          <w:sz w:val="28"/>
          <w:szCs w:val="28"/>
        </w:rPr>
        <w:t xml:space="preserve"> gan iespējamo risku bērna drošībai, attīstībai un veselībai, kā arī apstākli, vai bērnam, atgriežoties ģimenē, tiks nodrošināta pilnvērtīga aprūpe, atbilstoša audzināšana un labvēlīga vide. Turklāt bāriņtiesai jāgūst pār</w:t>
      </w:r>
      <w:r w:rsidR="00172831" w:rsidRPr="00090CDE">
        <w:rPr>
          <w:sz w:val="28"/>
          <w:szCs w:val="28"/>
        </w:rPr>
        <w:t>liecība par to, vai</w:t>
      </w:r>
      <w:r w:rsidR="00E14251" w:rsidRPr="00090CDE">
        <w:rPr>
          <w:sz w:val="28"/>
          <w:szCs w:val="28"/>
        </w:rPr>
        <w:t xml:space="preserve"> nepastāv risks atkārto</w:t>
      </w:r>
      <w:r w:rsidR="00172831" w:rsidRPr="00090CDE">
        <w:rPr>
          <w:sz w:val="28"/>
          <w:szCs w:val="28"/>
        </w:rPr>
        <w:t>tai bērna šķiršanai no ģimenes.</w:t>
      </w:r>
    </w:p>
    <w:p w:rsidR="009B3581" w:rsidRPr="00090CDE" w:rsidRDefault="00E43677" w:rsidP="009B3581">
      <w:pPr>
        <w:tabs>
          <w:tab w:val="left" w:pos="1482"/>
        </w:tabs>
        <w:spacing w:after="0" w:line="240" w:lineRule="auto"/>
        <w:ind w:firstLine="839"/>
        <w:rPr>
          <w:sz w:val="28"/>
          <w:szCs w:val="28"/>
        </w:rPr>
      </w:pPr>
      <w:r w:rsidRPr="00090CDE">
        <w:rPr>
          <w:sz w:val="28"/>
          <w:szCs w:val="28"/>
        </w:rPr>
        <w:t>I</w:t>
      </w:r>
      <w:r w:rsidR="00172831" w:rsidRPr="00090CDE">
        <w:rPr>
          <w:sz w:val="28"/>
          <w:szCs w:val="28"/>
        </w:rPr>
        <w:t>zvēr</w:t>
      </w:r>
      <w:r w:rsidR="00AA0DF1" w:rsidRPr="00090CDE">
        <w:rPr>
          <w:sz w:val="28"/>
          <w:szCs w:val="28"/>
        </w:rPr>
        <w:t>tējot lietas būtiskos faktiskos apstākļus, bāriņtiesa</w:t>
      </w:r>
      <w:r w:rsidR="009B3581" w:rsidRPr="00090CDE">
        <w:rPr>
          <w:sz w:val="28"/>
          <w:szCs w:val="28"/>
        </w:rPr>
        <w:t>:</w:t>
      </w:r>
    </w:p>
    <w:p w:rsidR="009B3581" w:rsidRPr="00090CDE" w:rsidRDefault="009B3581" w:rsidP="009B3581">
      <w:pPr>
        <w:tabs>
          <w:tab w:val="left" w:pos="1482"/>
        </w:tabs>
        <w:spacing w:after="0" w:line="240" w:lineRule="auto"/>
        <w:rPr>
          <w:rFonts w:eastAsia="Times New Roman" w:cs="Times New Roman"/>
          <w:sz w:val="27"/>
          <w:szCs w:val="27"/>
          <w:lang w:eastAsia="lv-LV"/>
        </w:rPr>
      </w:pPr>
      <w:r w:rsidRPr="00090CDE">
        <w:rPr>
          <w:sz w:val="27"/>
          <w:szCs w:val="27"/>
        </w:rPr>
        <w:t xml:space="preserve">- </w:t>
      </w:r>
      <w:r w:rsidRPr="00090CDE">
        <w:rPr>
          <w:rFonts w:eastAsia="Times New Roman" w:cs="Times New Roman"/>
          <w:sz w:val="27"/>
          <w:szCs w:val="27"/>
          <w:lang w:eastAsia="lv-LV"/>
        </w:rPr>
        <w:t>pieprasa vecāka dzīvesvietas sociālajam dienestam atzinumu par iespējām bērnam atgriezties vecāka aizgādībā;</w:t>
      </w:r>
    </w:p>
    <w:p w:rsidR="009B3581" w:rsidRPr="00090CDE" w:rsidRDefault="009B3581" w:rsidP="009B3581">
      <w:pPr>
        <w:tabs>
          <w:tab w:val="left" w:pos="1482"/>
        </w:tabs>
        <w:spacing w:after="0" w:line="240" w:lineRule="auto"/>
        <w:rPr>
          <w:rFonts w:eastAsia="Times New Roman" w:cs="Times New Roman"/>
          <w:sz w:val="27"/>
          <w:szCs w:val="27"/>
          <w:lang w:eastAsia="lv-LV"/>
        </w:rPr>
      </w:pPr>
      <w:r w:rsidRPr="00090CDE">
        <w:rPr>
          <w:rFonts w:eastAsia="Times New Roman" w:cs="Times New Roman"/>
          <w:sz w:val="27"/>
          <w:szCs w:val="27"/>
          <w:lang w:eastAsia="lv-LV"/>
        </w:rPr>
        <w:t xml:space="preserve">- </w:t>
      </w:r>
      <w:r w:rsidR="00675BB6" w:rsidRPr="00090CDE">
        <w:rPr>
          <w:rFonts w:eastAsia="Times New Roman" w:cs="Times New Roman"/>
          <w:sz w:val="27"/>
          <w:szCs w:val="27"/>
          <w:lang w:eastAsia="lv-LV"/>
        </w:rPr>
        <w:t>pieprasa no audžuģimenes, aizbildņa vai</w:t>
      </w:r>
      <w:r w:rsidR="00E43677" w:rsidRPr="00090CDE">
        <w:rPr>
          <w:rFonts w:eastAsia="Times New Roman" w:cs="Times New Roman"/>
          <w:sz w:val="27"/>
          <w:szCs w:val="27"/>
          <w:lang w:eastAsia="lv-LV"/>
        </w:rPr>
        <w:t xml:space="preserve"> ilgstošas sociālās aprūpes un sociālās rehabilitācijas institūcijas (turpmāk tekstā – institūcija)</w:t>
      </w:r>
      <w:r w:rsidR="00675BB6" w:rsidRPr="00090CDE">
        <w:rPr>
          <w:rFonts w:eastAsia="Times New Roman" w:cs="Times New Roman"/>
          <w:sz w:val="27"/>
          <w:szCs w:val="27"/>
          <w:lang w:eastAsia="lv-LV"/>
        </w:rPr>
        <w:t xml:space="preserve"> informāciju par bērna un vecāka saskarsmi, garīgo un materiālo atbalstu bērna audzināšanā ārpusģimenes aprūpes laikā;</w:t>
      </w:r>
    </w:p>
    <w:p w:rsidR="007D675D" w:rsidRPr="00090CDE" w:rsidRDefault="00675BB6" w:rsidP="007D675D">
      <w:pPr>
        <w:tabs>
          <w:tab w:val="left" w:pos="1482"/>
        </w:tabs>
        <w:spacing w:after="0" w:line="240" w:lineRule="auto"/>
        <w:rPr>
          <w:rFonts w:cs="Times New Roman"/>
          <w:sz w:val="27"/>
          <w:szCs w:val="27"/>
        </w:rPr>
      </w:pPr>
      <w:r w:rsidRPr="00090CDE">
        <w:rPr>
          <w:rFonts w:eastAsia="Times New Roman" w:cs="Times New Roman"/>
          <w:sz w:val="27"/>
          <w:szCs w:val="27"/>
          <w:lang w:eastAsia="lv-LV"/>
        </w:rPr>
        <w:t>- pieprasa</w:t>
      </w:r>
      <w:r w:rsidR="009D6947" w:rsidRPr="00090CDE">
        <w:rPr>
          <w:rFonts w:eastAsia="Times New Roman" w:cs="Times New Roman"/>
          <w:sz w:val="27"/>
          <w:szCs w:val="27"/>
          <w:lang w:eastAsia="lv-LV"/>
        </w:rPr>
        <w:t>, pamatojoties uz Bāriņtiesu likuma 16.panta 1.punktā noteikto</w:t>
      </w:r>
      <w:r w:rsidR="009A62A8" w:rsidRPr="00090CDE">
        <w:rPr>
          <w:rFonts w:eastAsia="Times New Roman" w:cs="Times New Roman"/>
          <w:sz w:val="27"/>
          <w:szCs w:val="27"/>
          <w:lang w:eastAsia="lv-LV"/>
        </w:rPr>
        <w:t>,</w:t>
      </w:r>
      <w:r w:rsidRPr="00090CDE">
        <w:rPr>
          <w:rFonts w:eastAsia="Times New Roman" w:cs="Times New Roman"/>
          <w:sz w:val="27"/>
          <w:szCs w:val="27"/>
          <w:lang w:eastAsia="lv-LV"/>
        </w:rPr>
        <w:t xml:space="preserve"> citu informāciju, kas nepieciešama, lai pieņemtu pamatotu, bērna interesēm atbilstošu lēmumu, tajā skaitā</w:t>
      </w:r>
      <w:r w:rsidR="005E23C5" w:rsidRPr="00090CDE">
        <w:rPr>
          <w:rFonts w:eastAsia="Times New Roman" w:cs="Times New Roman"/>
          <w:sz w:val="27"/>
          <w:szCs w:val="27"/>
          <w:lang w:eastAsia="lv-LV"/>
        </w:rPr>
        <w:t>,</w:t>
      </w:r>
      <w:r w:rsidRPr="00090CDE">
        <w:rPr>
          <w:rFonts w:eastAsia="Times New Roman" w:cs="Times New Roman"/>
          <w:sz w:val="27"/>
          <w:szCs w:val="27"/>
          <w:lang w:eastAsia="lv-LV"/>
        </w:rPr>
        <w:t xml:space="preserve"> atkarībā no konkrētās lietas</w:t>
      </w:r>
      <w:r w:rsidR="005E23C5" w:rsidRPr="00090CDE">
        <w:rPr>
          <w:rFonts w:eastAsia="Times New Roman" w:cs="Times New Roman"/>
          <w:sz w:val="27"/>
          <w:szCs w:val="27"/>
          <w:lang w:eastAsia="lv-LV"/>
        </w:rPr>
        <w:t>,</w:t>
      </w:r>
      <w:r w:rsidRPr="00090CDE">
        <w:rPr>
          <w:rFonts w:eastAsia="Times New Roman" w:cs="Times New Roman"/>
          <w:sz w:val="27"/>
          <w:szCs w:val="27"/>
          <w:lang w:eastAsia="lv-LV"/>
        </w:rPr>
        <w:t xml:space="preserve"> informāciju par </w:t>
      </w:r>
      <w:r w:rsidRPr="00090CDE">
        <w:rPr>
          <w:rFonts w:cs="Times New Roman"/>
          <w:sz w:val="27"/>
          <w:szCs w:val="27"/>
        </w:rPr>
        <w:t xml:space="preserve">vecāka izpratni par bērna vajadzībām, </w:t>
      </w:r>
      <w:r w:rsidR="005E23C5" w:rsidRPr="00090CDE">
        <w:rPr>
          <w:rFonts w:cs="Times New Roman"/>
          <w:sz w:val="27"/>
          <w:szCs w:val="27"/>
        </w:rPr>
        <w:t>vecāka spēj</w:t>
      </w:r>
      <w:r w:rsidR="001A1A87" w:rsidRPr="00090CDE">
        <w:rPr>
          <w:rFonts w:cs="Times New Roman"/>
          <w:sz w:val="27"/>
          <w:szCs w:val="27"/>
        </w:rPr>
        <w:t>ām</w:t>
      </w:r>
      <w:r w:rsidR="005E23C5" w:rsidRPr="00090CDE">
        <w:rPr>
          <w:rFonts w:cs="Times New Roman"/>
          <w:sz w:val="27"/>
          <w:szCs w:val="27"/>
        </w:rPr>
        <w:t xml:space="preserve"> un motivāciju realizēt vec</w:t>
      </w:r>
      <w:r w:rsidR="001A1A87" w:rsidRPr="00090CDE">
        <w:rPr>
          <w:rFonts w:cs="Times New Roman"/>
          <w:sz w:val="27"/>
          <w:szCs w:val="27"/>
        </w:rPr>
        <w:t>āka tiesības un pienākumus, prasmēm</w:t>
      </w:r>
      <w:r w:rsidRPr="00090CDE">
        <w:rPr>
          <w:rFonts w:cs="Times New Roman"/>
          <w:sz w:val="27"/>
          <w:szCs w:val="27"/>
        </w:rPr>
        <w:t xml:space="preserve"> pielietot adekvātas audzināšanas metodes un nodrošināt bērnam atbilstoši aprūpi</w:t>
      </w:r>
      <w:r w:rsidR="009A62A8" w:rsidRPr="00090CDE">
        <w:rPr>
          <w:rFonts w:cs="Times New Roman"/>
          <w:sz w:val="27"/>
          <w:szCs w:val="27"/>
        </w:rPr>
        <w:t xml:space="preserve"> u.c.</w:t>
      </w:r>
    </w:p>
    <w:p w:rsidR="005B0DA7" w:rsidRPr="00090CDE" w:rsidRDefault="007D675D" w:rsidP="007D675D">
      <w:pPr>
        <w:tabs>
          <w:tab w:val="left" w:pos="851"/>
        </w:tabs>
        <w:spacing w:after="0" w:line="240" w:lineRule="auto"/>
        <w:rPr>
          <w:rFonts w:cs="Times New Roman"/>
          <w:sz w:val="27"/>
          <w:szCs w:val="27"/>
        </w:rPr>
      </w:pPr>
      <w:r w:rsidRPr="00090CDE">
        <w:rPr>
          <w:rFonts w:cs="Times New Roman"/>
          <w:sz w:val="27"/>
          <w:szCs w:val="27"/>
        </w:rPr>
        <w:tab/>
      </w:r>
      <w:r w:rsidR="009A62A8" w:rsidRPr="00090CDE">
        <w:rPr>
          <w:rFonts w:cs="Times New Roman"/>
          <w:sz w:val="28"/>
          <w:szCs w:val="28"/>
        </w:rPr>
        <w:t xml:space="preserve">Ievērojot iepriekš minēto, institūciju un speciālistu sniegtā </w:t>
      </w:r>
      <w:r w:rsidR="00DC0252" w:rsidRPr="00090CDE">
        <w:rPr>
          <w:rFonts w:cs="Times New Roman"/>
          <w:sz w:val="28"/>
          <w:szCs w:val="28"/>
        </w:rPr>
        <w:t xml:space="preserve">papildus </w:t>
      </w:r>
      <w:r w:rsidR="009A62A8" w:rsidRPr="00090CDE">
        <w:rPr>
          <w:rFonts w:cs="Times New Roman"/>
          <w:sz w:val="28"/>
          <w:szCs w:val="28"/>
        </w:rPr>
        <w:t>informācija par vecāku spējām īstenot bērnu aizgādību</w:t>
      </w:r>
      <w:r w:rsidR="00DC0252" w:rsidRPr="00090CDE">
        <w:rPr>
          <w:rFonts w:cs="Times New Roman"/>
          <w:sz w:val="28"/>
          <w:szCs w:val="28"/>
        </w:rPr>
        <w:t xml:space="preserve"> vērtējama kopsakarā ar tiem iemesliem, kuru dēļ aizgādības tiesības vecākam savulaik tika p</w:t>
      </w:r>
      <w:r w:rsidR="00707B48" w:rsidRPr="00090CDE">
        <w:rPr>
          <w:rFonts w:cs="Times New Roman"/>
          <w:sz w:val="28"/>
          <w:szCs w:val="28"/>
        </w:rPr>
        <w:t>ārtrauktas.</w:t>
      </w:r>
    </w:p>
    <w:p w:rsidR="007D30C2" w:rsidRPr="00090CDE" w:rsidRDefault="00521B60" w:rsidP="007D30C2">
      <w:pPr>
        <w:tabs>
          <w:tab w:val="left" w:pos="1482"/>
        </w:tabs>
        <w:spacing w:after="0" w:line="240" w:lineRule="auto"/>
        <w:ind w:firstLine="839"/>
        <w:rPr>
          <w:sz w:val="28"/>
          <w:szCs w:val="28"/>
        </w:rPr>
      </w:pPr>
      <w:r>
        <w:rPr>
          <w:sz w:val="28"/>
          <w:szCs w:val="28"/>
        </w:rPr>
        <w:lastRenderedPageBreak/>
        <w:t>Statistiskie rādītāji</w:t>
      </w:r>
      <w:r w:rsidR="005B0DA7" w:rsidRPr="00090CDE">
        <w:rPr>
          <w:sz w:val="28"/>
          <w:szCs w:val="28"/>
        </w:rPr>
        <w:t>, kas atspoguļoti 6.diagrammā, iespējams</w:t>
      </w:r>
      <w:r>
        <w:rPr>
          <w:sz w:val="28"/>
          <w:szCs w:val="28"/>
        </w:rPr>
        <w:t>,</w:t>
      </w:r>
      <w:r w:rsidR="005B0DA7" w:rsidRPr="00090CDE">
        <w:rPr>
          <w:sz w:val="28"/>
          <w:szCs w:val="28"/>
        </w:rPr>
        <w:t xml:space="preserve"> liecina par to, ka vecāki, par kuriem bāriņtiesas sniegušas informāciju, laikā pēc aizgādības tiesību pārtraukšanas sadarbojušās ar sociālo dienestu un piesaistītajiem speciālistiem, lai uzlabotu situāciju ģimenē, sekmētu bērna aizgādības tiesību pārtraukšanas iemeslu novēršanu un radītu labvēlīgus apstākļus tam, ka bērns</w:t>
      </w:r>
      <w:r w:rsidR="007D30C2" w:rsidRPr="00090CDE">
        <w:rPr>
          <w:sz w:val="28"/>
          <w:szCs w:val="28"/>
        </w:rPr>
        <w:t xml:space="preserve"> var atgriezties vecāka aprūpē.</w:t>
      </w:r>
    </w:p>
    <w:p w:rsidR="007D30C2" w:rsidRPr="00090CDE" w:rsidRDefault="007D30C2" w:rsidP="007D30C2">
      <w:pPr>
        <w:tabs>
          <w:tab w:val="left" w:pos="1482"/>
        </w:tabs>
        <w:spacing w:after="0" w:line="240" w:lineRule="auto"/>
        <w:ind w:firstLine="839"/>
        <w:rPr>
          <w:sz w:val="16"/>
          <w:szCs w:val="16"/>
        </w:rPr>
      </w:pPr>
    </w:p>
    <w:p w:rsidR="005B0DA7" w:rsidRPr="00090CDE" w:rsidRDefault="007D30C2" w:rsidP="007D30C2">
      <w:pPr>
        <w:tabs>
          <w:tab w:val="left" w:pos="1482"/>
        </w:tabs>
        <w:spacing w:line="360" w:lineRule="auto"/>
        <w:ind w:firstLine="840"/>
        <w:jc w:val="right"/>
        <w:rPr>
          <w:b/>
          <w:sz w:val="26"/>
          <w:szCs w:val="26"/>
        </w:rPr>
      </w:pPr>
      <w:r w:rsidRPr="00090CDE">
        <w:rPr>
          <w:b/>
          <w:sz w:val="26"/>
          <w:szCs w:val="26"/>
        </w:rPr>
        <w:t>6.diagramma</w:t>
      </w:r>
    </w:p>
    <w:p w:rsidR="00941D4B" w:rsidRPr="00090CDE" w:rsidRDefault="00941D4B" w:rsidP="002A7800">
      <w:pPr>
        <w:tabs>
          <w:tab w:val="left" w:pos="1482"/>
        </w:tabs>
        <w:spacing w:after="0" w:line="240" w:lineRule="auto"/>
        <w:ind w:firstLine="839"/>
        <w:jc w:val="center"/>
        <w:rPr>
          <w:sz w:val="28"/>
          <w:szCs w:val="28"/>
        </w:rPr>
      </w:pPr>
      <w:r w:rsidRPr="00090CDE">
        <w:rPr>
          <w:noProof/>
          <w:lang w:val="en-GB" w:eastAsia="en-GB"/>
        </w:rPr>
        <w:drawing>
          <wp:inline distT="0" distB="0" distL="0" distR="0" wp14:anchorId="2F052C17" wp14:editId="74794891">
            <wp:extent cx="5105400" cy="274320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41D4B" w:rsidRPr="00090CDE" w:rsidRDefault="00941D4B" w:rsidP="00DD6FB0">
      <w:pPr>
        <w:tabs>
          <w:tab w:val="left" w:pos="1482"/>
        </w:tabs>
        <w:spacing w:after="0" w:line="240" w:lineRule="auto"/>
        <w:rPr>
          <w:sz w:val="28"/>
          <w:szCs w:val="28"/>
        </w:rPr>
      </w:pPr>
    </w:p>
    <w:p w:rsidR="00373619" w:rsidRPr="00090CDE" w:rsidRDefault="001B346E" w:rsidP="002D598F">
      <w:pPr>
        <w:tabs>
          <w:tab w:val="left" w:pos="1482"/>
        </w:tabs>
        <w:spacing w:after="0" w:line="240" w:lineRule="auto"/>
        <w:ind w:firstLine="839"/>
        <w:rPr>
          <w:sz w:val="28"/>
          <w:szCs w:val="28"/>
        </w:rPr>
      </w:pPr>
      <w:r w:rsidRPr="00090CDE">
        <w:rPr>
          <w:sz w:val="28"/>
          <w:szCs w:val="28"/>
        </w:rPr>
        <w:t xml:space="preserve">Izvērtējot 6.diagrammā atspoguļoto statistisko informāciju 4 gadu intervālā par bērnu skaitu, kuri atgriezušies vecāku aprūpē un vecāku skaitu, kuriem atjaunotas bērnu pārtrauktās </w:t>
      </w:r>
      <w:r w:rsidR="00AC7393">
        <w:rPr>
          <w:sz w:val="28"/>
          <w:szCs w:val="28"/>
        </w:rPr>
        <w:t>aizgādības tiesības, redzams,</w:t>
      </w:r>
      <w:r w:rsidRPr="00090CDE">
        <w:rPr>
          <w:sz w:val="28"/>
          <w:szCs w:val="28"/>
        </w:rPr>
        <w:t xml:space="preserve"> ka 2012.gadā bāriņtiesas datus sniegušas par 849 bērniem un 649 personām, kurām atjaunotas pā</w:t>
      </w:r>
      <w:r w:rsidR="00AC7393">
        <w:rPr>
          <w:sz w:val="28"/>
          <w:szCs w:val="28"/>
        </w:rPr>
        <w:t xml:space="preserve">rtrauktās aizgādības tiesības. </w:t>
      </w:r>
      <w:r w:rsidRPr="00090CDE">
        <w:rPr>
          <w:sz w:val="28"/>
          <w:szCs w:val="28"/>
        </w:rPr>
        <w:t>2013.gadā minētā satura informācija sniegta par 872 bērniem, kuri atgriezušies vecāku aprūpē un 652 vecākiem, kuri atguvuši savas tiesības īstenot bērnu aizgādību. Tātad skaitliski par</w:t>
      </w:r>
      <w:r w:rsidR="00AC600B">
        <w:rPr>
          <w:sz w:val="28"/>
          <w:szCs w:val="28"/>
        </w:rPr>
        <w:t xml:space="preserve"> 3 </w:t>
      </w:r>
      <w:r w:rsidR="005B0DA7" w:rsidRPr="00090CDE">
        <w:rPr>
          <w:sz w:val="28"/>
          <w:szCs w:val="28"/>
        </w:rPr>
        <w:t>vecākiem vairāk un</w:t>
      </w:r>
      <w:r w:rsidRPr="00090CDE">
        <w:rPr>
          <w:sz w:val="28"/>
          <w:szCs w:val="28"/>
        </w:rPr>
        <w:t xml:space="preserve"> 23 bērniem vairāk 2013.gadā atgriezušies vecāku aprūpē. Savukārt kopš 2013.gada vērojama tendence skaitliski samazināties minētajiem rādīt</w:t>
      </w:r>
      <w:r w:rsidR="005B0DA7" w:rsidRPr="00090CDE">
        <w:rPr>
          <w:sz w:val="28"/>
          <w:szCs w:val="28"/>
        </w:rPr>
        <w:t xml:space="preserve">ājiem, proti, samazinājies </w:t>
      </w:r>
      <w:r w:rsidRPr="00090CDE">
        <w:rPr>
          <w:sz w:val="28"/>
          <w:szCs w:val="28"/>
        </w:rPr>
        <w:t xml:space="preserve"> </w:t>
      </w:r>
      <w:r w:rsidR="005B0DA7" w:rsidRPr="00090CDE">
        <w:rPr>
          <w:sz w:val="28"/>
          <w:szCs w:val="28"/>
        </w:rPr>
        <w:t xml:space="preserve">gan bērnu, gan vecāku skaits, attiecībā uz kuriem bāriņtiesa savu pilnvaru ietvaros pieņēmusi lēmumu par aizgādības tiesību atjaunošanu. Proti, kā redzams 6.diagrammā, 2014.gadā salīdzinājumā ar 2013.gadu </w:t>
      </w:r>
      <w:r w:rsidR="002D598F" w:rsidRPr="00090CDE">
        <w:rPr>
          <w:sz w:val="28"/>
          <w:szCs w:val="28"/>
        </w:rPr>
        <w:t xml:space="preserve">bāriņtiesas attiecībā uz </w:t>
      </w:r>
      <w:r w:rsidR="005B0DA7" w:rsidRPr="00090CDE">
        <w:rPr>
          <w:sz w:val="28"/>
          <w:szCs w:val="28"/>
        </w:rPr>
        <w:t>563 personām</w:t>
      </w:r>
      <w:r w:rsidR="0012650F">
        <w:rPr>
          <w:sz w:val="28"/>
          <w:szCs w:val="28"/>
        </w:rPr>
        <w:t xml:space="preserve"> pieņēmušas tām labvēlīgu administ</w:t>
      </w:r>
      <w:r w:rsidR="002D598F" w:rsidRPr="00090CDE">
        <w:rPr>
          <w:sz w:val="28"/>
          <w:szCs w:val="28"/>
        </w:rPr>
        <w:t>r</w:t>
      </w:r>
      <w:r w:rsidR="0012650F">
        <w:rPr>
          <w:sz w:val="28"/>
          <w:szCs w:val="28"/>
        </w:rPr>
        <w:t>a</w:t>
      </w:r>
      <w:r w:rsidR="002D598F" w:rsidRPr="00090CDE">
        <w:rPr>
          <w:sz w:val="28"/>
          <w:szCs w:val="28"/>
        </w:rPr>
        <w:t xml:space="preserve">tīvo aktu par aizgādības tiesību atjaunošanu, un līdz ar to 755 bērniem bijusi iespēja atgriezties savu vecāku aprūpē. Tādējādi 2014.gadā  par 89 personām mazāk un 117 bērniem mazāk pieņemts attiecīga satura lēmums. </w:t>
      </w:r>
      <w:r w:rsidR="00843C7C" w:rsidRPr="00090CDE">
        <w:rPr>
          <w:sz w:val="28"/>
          <w:szCs w:val="28"/>
        </w:rPr>
        <w:t>Apkopojot bār</w:t>
      </w:r>
      <w:r w:rsidR="002D598F" w:rsidRPr="00090CDE">
        <w:rPr>
          <w:sz w:val="28"/>
          <w:szCs w:val="28"/>
        </w:rPr>
        <w:t>iņtiesu pārskatus par darbu 2015</w:t>
      </w:r>
      <w:r w:rsidR="00843C7C" w:rsidRPr="00090CDE">
        <w:rPr>
          <w:sz w:val="28"/>
          <w:szCs w:val="28"/>
        </w:rPr>
        <w:t>.gadā, secināms, ka 2014.gadā</w:t>
      </w:r>
      <w:r w:rsidR="002D598F" w:rsidRPr="00090CDE">
        <w:rPr>
          <w:sz w:val="28"/>
          <w:szCs w:val="28"/>
        </w:rPr>
        <w:t xml:space="preserve"> turpinās tendence samazināt</w:t>
      </w:r>
      <w:r w:rsidR="00843C7C" w:rsidRPr="00090CDE">
        <w:rPr>
          <w:sz w:val="28"/>
          <w:szCs w:val="28"/>
        </w:rPr>
        <w:t>ie</w:t>
      </w:r>
      <w:r w:rsidR="002D598F" w:rsidRPr="00090CDE">
        <w:rPr>
          <w:sz w:val="28"/>
          <w:szCs w:val="28"/>
        </w:rPr>
        <w:t>s to gadījumu skaitam</w:t>
      </w:r>
      <w:r w:rsidR="00843C7C" w:rsidRPr="00090CDE">
        <w:rPr>
          <w:sz w:val="28"/>
          <w:szCs w:val="28"/>
        </w:rPr>
        <w:t xml:space="preserve">, kad bāriņtiesa lēmusi atjaunot vecākam bērna </w:t>
      </w:r>
      <w:r w:rsidR="002D598F" w:rsidRPr="00090CDE">
        <w:rPr>
          <w:sz w:val="28"/>
          <w:szCs w:val="28"/>
        </w:rPr>
        <w:t xml:space="preserve">pārtrauktās </w:t>
      </w:r>
      <w:r w:rsidR="00843C7C" w:rsidRPr="00090CDE">
        <w:rPr>
          <w:sz w:val="28"/>
          <w:szCs w:val="28"/>
        </w:rPr>
        <w:t>aizgādības tiesības, proti, pārskata</w:t>
      </w:r>
      <w:r w:rsidR="00B2402A" w:rsidRPr="00090CDE">
        <w:rPr>
          <w:sz w:val="28"/>
          <w:szCs w:val="28"/>
        </w:rPr>
        <w:t xml:space="preserve"> gadā bāriņtiesas kopumā sniegušas</w:t>
      </w:r>
      <w:r w:rsidR="002D598F" w:rsidRPr="00090CDE">
        <w:rPr>
          <w:sz w:val="28"/>
          <w:szCs w:val="28"/>
        </w:rPr>
        <w:t xml:space="preserve"> datus par 632</w:t>
      </w:r>
      <w:r w:rsidR="00843C7C" w:rsidRPr="00090CDE">
        <w:rPr>
          <w:sz w:val="28"/>
          <w:szCs w:val="28"/>
        </w:rPr>
        <w:t xml:space="preserve"> bērniem</w:t>
      </w:r>
      <w:r w:rsidR="002D598F" w:rsidRPr="00090CDE">
        <w:rPr>
          <w:sz w:val="28"/>
          <w:szCs w:val="28"/>
        </w:rPr>
        <w:t xml:space="preserve"> (t.i.par 123 bērniem mazāk kā 2014.gadā)</w:t>
      </w:r>
      <w:r w:rsidR="00843C7C" w:rsidRPr="00090CDE">
        <w:rPr>
          <w:sz w:val="28"/>
          <w:szCs w:val="28"/>
        </w:rPr>
        <w:t xml:space="preserve"> un </w:t>
      </w:r>
      <w:r w:rsidR="002D598F" w:rsidRPr="00090CDE">
        <w:rPr>
          <w:sz w:val="28"/>
          <w:szCs w:val="28"/>
        </w:rPr>
        <w:t>476</w:t>
      </w:r>
      <w:r w:rsidR="00843C7C" w:rsidRPr="00090CDE">
        <w:rPr>
          <w:sz w:val="28"/>
          <w:szCs w:val="28"/>
        </w:rPr>
        <w:t xml:space="preserve"> personām</w:t>
      </w:r>
      <w:r w:rsidR="002D598F" w:rsidRPr="00090CDE">
        <w:rPr>
          <w:sz w:val="28"/>
          <w:szCs w:val="28"/>
        </w:rPr>
        <w:t xml:space="preserve"> (t.i. par 87 personām mazāk kā 2014.gadā)</w:t>
      </w:r>
      <w:r w:rsidR="00843C7C" w:rsidRPr="00090CDE">
        <w:rPr>
          <w:sz w:val="28"/>
          <w:szCs w:val="28"/>
        </w:rPr>
        <w:t xml:space="preserve">, kurām atjaunotas pārtrauktās </w:t>
      </w:r>
      <w:r w:rsidR="00B2402A" w:rsidRPr="00090CDE">
        <w:rPr>
          <w:sz w:val="28"/>
          <w:szCs w:val="28"/>
        </w:rPr>
        <w:t xml:space="preserve"> bērnu </w:t>
      </w:r>
      <w:r w:rsidR="00843C7C" w:rsidRPr="00090CDE">
        <w:rPr>
          <w:sz w:val="28"/>
          <w:szCs w:val="28"/>
        </w:rPr>
        <w:t xml:space="preserve">aizgādības tiesības. </w:t>
      </w:r>
    </w:p>
    <w:p w:rsidR="007D30C2" w:rsidRPr="00090CDE" w:rsidRDefault="007D30C2" w:rsidP="002D598F">
      <w:pPr>
        <w:tabs>
          <w:tab w:val="left" w:pos="1482"/>
        </w:tabs>
        <w:spacing w:after="0" w:line="240" w:lineRule="auto"/>
        <w:ind w:firstLine="839"/>
        <w:rPr>
          <w:sz w:val="28"/>
          <w:szCs w:val="28"/>
        </w:rPr>
      </w:pPr>
    </w:p>
    <w:p w:rsidR="004C6D56" w:rsidRPr="00090CDE" w:rsidRDefault="000C357D" w:rsidP="00843C7C">
      <w:pPr>
        <w:spacing w:after="0" w:line="240" w:lineRule="auto"/>
        <w:ind w:firstLine="720"/>
        <w:rPr>
          <w:rFonts w:eastAsia="Times New Roman" w:cs="Times New Roman"/>
          <w:sz w:val="16"/>
          <w:szCs w:val="16"/>
          <w:lang w:eastAsia="lv-LV"/>
        </w:rPr>
      </w:pPr>
      <w:r w:rsidRPr="00090CDE">
        <w:rPr>
          <w:rFonts w:eastAsia="Times New Roman" w:cs="Times New Roman"/>
          <w:sz w:val="28"/>
          <w:szCs w:val="28"/>
          <w:lang w:eastAsia="lv-LV"/>
        </w:rPr>
        <w:t xml:space="preserve"> </w:t>
      </w:r>
      <w:r w:rsidR="00810272" w:rsidRPr="00090CDE">
        <w:rPr>
          <w:rFonts w:eastAsia="Times New Roman" w:cs="Times New Roman"/>
          <w:sz w:val="28"/>
          <w:szCs w:val="28"/>
          <w:lang w:eastAsia="lv-LV"/>
        </w:rPr>
        <w:tab/>
      </w:r>
    </w:p>
    <w:p w:rsidR="000C357D" w:rsidRPr="00090CDE" w:rsidRDefault="00810272" w:rsidP="000C357D">
      <w:pPr>
        <w:spacing w:after="120" w:line="240" w:lineRule="auto"/>
        <w:ind w:firstLine="720"/>
        <w:rPr>
          <w:rFonts w:eastAsia="Times New Roman" w:cs="Times New Roman"/>
          <w:b/>
          <w:sz w:val="28"/>
          <w:szCs w:val="28"/>
          <w:lang w:eastAsia="lv-LV"/>
        </w:rPr>
      </w:pPr>
      <w:r w:rsidRPr="00090CDE">
        <w:rPr>
          <w:rFonts w:eastAsia="Times New Roman" w:cs="Times New Roman"/>
          <w:sz w:val="28"/>
          <w:szCs w:val="28"/>
          <w:lang w:eastAsia="lv-LV"/>
        </w:rPr>
        <w:lastRenderedPageBreak/>
        <w:tab/>
      </w:r>
      <w:r w:rsidRPr="00090CDE">
        <w:rPr>
          <w:rFonts w:eastAsia="Times New Roman" w:cs="Times New Roman"/>
          <w:sz w:val="28"/>
          <w:szCs w:val="28"/>
          <w:lang w:eastAsia="lv-LV"/>
        </w:rPr>
        <w:tab/>
      </w:r>
      <w:r w:rsidRPr="00090CDE">
        <w:rPr>
          <w:rFonts w:eastAsia="Times New Roman" w:cs="Times New Roman"/>
          <w:sz w:val="28"/>
          <w:szCs w:val="28"/>
          <w:lang w:eastAsia="lv-LV"/>
        </w:rPr>
        <w:tab/>
      </w:r>
      <w:r w:rsidRPr="00090CDE">
        <w:rPr>
          <w:rFonts w:eastAsia="Times New Roman" w:cs="Times New Roman"/>
          <w:sz w:val="28"/>
          <w:szCs w:val="28"/>
          <w:lang w:eastAsia="lv-LV"/>
        </w:rPr>
        <w:tab/>
      </w:r>
      <w:r w:rsidRPr="00090CDE">
        <w:rPr>
          <w:rFonts w:eastAsia="Times New Roman" w:cs="Times New Roman"/>
          <w:sz w:val="28"/>
          <w:szCs w:val="28"/>
          <w:lang w:eastAsia="lv-LV"/>
        </w:rPr>
        <w:tab/>
      </w:r>
      <w:r w:rsidRPr="00090CDE">
        <w:rPr>
          <w:rFonts w:eastAsia="Times New Roman" w:cs="Times New Roman"/>
          <w:sz w:val="28"/>
          <w:szCs w:val="28"/>
          <w:lang w:eastAsia="lv-LV"/>
        </w:rPr>
        <w:tab/>
      </w:r>
      <w:r w:rsidRPr="00090CDE">
        <w:rPr>
          <w:rFonts w:eastAsia="Times New Roman" w:cs="Times New Roman"/>
          <w:sz w:val="28"/>
          <w:szCs w:val="28"/>
          <w:lang w:eastAsia="lv-LV"/>
        </w:rPr>
        <w:tab/>
      </w:r>
      <w:r w:rsidRPr="00090CDE">
        <w:rPr>
          <w:rFonts w:eastAsia="Times New Roman" w:cs="Times New Roman"/>
          <w:sz w:val="28"/>
          <w:szCs w:val="28"/>
          <w:lang w:eastAsia="lv-LV"/>
        </w:rPr>
        <w:tab/>
      </w:r>
      <w:r w:rsidRPr="00090CDE">
        <w:rPr>
          <w:rFonts w:eastAsia="Times New Roman" w:cs="Times New Roman"/>
          <w:sz w:val="28"/>
          <w:szCs w:val="28"/>
          <w:lang w:eastAsia="lv-LV"/>
        </w:rPr>
        <w:tab/>
        <w:t xml:space="preserve">      </w:t>
      </w:r>
      <w:r w:rsidR="00135779" w:rsidRPr="00090CDE">
        <w:rPr>
          <w:rFonts w:eastAsia="Times New Roman" w:cs="Times New Roman"/>
          <w:sz w:val="28"/>
          <w:szCs w:val="28"/>
          <w:lang w:eastAsia="lv-LV"/>
        </w:rPr>
        <w:t xml:space="preserve">          </w:t>
      </w:r>
      <w:r w:rsidRPr="00090CDE">
        <w:rPr>
          <w:rFonts w:eastAsia="Times New Roman" w:cs="Times New Roman"/>
          <w:b/>
          <w:sz w:val="28"/>
          <w:szCs w:val="28"/>
          <w:lang w:eastAsia="lv-LV"/>
        </w:rPr>
        <w:t>2.tabula</w:t>
      </w:r>
    </w:p>
    <w:tbl>
      <w:tblPr>
        <w:tblStyle w:val="TableGrid"/>
        <w:tblW w:w="0" w:type="auto"/>
        <w:tblInd w:w="1384"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ayout w:type="fixed"/>
        <w:tblLook w:val="04A0" w:firstRow="1" w:lastRow="0" w:firstColumn="1" w:lastColumn="0" w:noHBand="0" w:noVBand="1"/>
      </w:tblPr>
      <w:tblGrid>
        <w:gridCol w:w="2331"/>
        <w:gridCol w:w="1213"/>
        <w:gridCol w:w="1134"/>
        <w:gridCol w:w="1276"/>
        <w:gridCol w:w="1276"/>
      </w:tblGrid>
      <w:tr w:rsidR="00DD6FB0" w:rsidRPr="00090CDE" w:rsidTr="00FC27E7">
        <w:tc>
          <w:tcPr>
            <w:tcW w:w="7230" w:type="dxa"/>
            <w:gridSpan w:val="5"/>
          </w:tcPr>
          <w:p w:rsidR="00DD6FB0" w:rsidRPr="00090CDE" w:rsidRDefault="00DD6FB0" w:rsidP="006D6F69">
            <w:pPr>
              <w:spacing w:after="120"/>
              <w:jc w:val="center"/>
              <w:rPr>
                <w:rFonts w:eastAsia="Times New Roman" w:cs="Times New Roman"/>
                <w:b/>
                <w:sz w:val="22"/>
                <w:lang w:eastAsia="lv-LV"/>
              </w:rPr>
            </w:pPr>
            <w:r w:rsidRPr="00090CDE">
              <w:rPr>
                <w:rFonts w:eastAsia="Times New Roman" w:cs="Times New Roman"/>
                <w:b/>
                <w:sz w:val="22"/>
                <w:lang w:eastAsia="lv-LV"/>
              </w:rPr>
              <w:t>Bērnu skaits, kuru vecākiem atjaunotas aizgādības tiesības</w:t>
            </w:r>
          </w:p>
        </w:tc>
      </w:tr>
      <w:tr w:rsidR="00DD6FB0" w:rsidRPr="00090CDE" w:rsidTr="00FC27E7">
        <w:trPr>
          <w:trHeight w:val="373"/>
        </w:trPr>
        <w:tc>
          <w:tcPr>
            <w:tcW w:w="2331" w:type="dxa"/>
          </w:tcPr>
          <w:p w:rsidR="00DD6FB0" w:rsidRPr="00090CDE" w:rsidRDefault="00DD6FB0" w:rsidP="006D6F69">
            <w:pPr>
              <w:spacing w:after="120"/>
              <w:rPr>
                <w:rFonts w:eastAsia="Times New Roman" w:cs="Times New Roman"/>
                <w:sz w:val="20"/>
                <w:szCs w:val="20"/>
                <w:lang w:eastAsia="lv-LV"/>
              </w:rPr>
            </w:pPr>
            <w:r w:rsidRPr="00090CDE">
              <w:rPr>
                <w:rFonts w:eastAsia="Times New Roman" w:cs="Times New Roman"/>
                <w:sz w:val="20"/>
                <w:szCs w:val="20"/>
                <w:lang w:eastAsia="lv-LV"/>
              </w:rPr>
              <w:t>Bērni vecumā:</w:t>
            </w:r>
          </w:p>
        </w:tc>
        <w:tc>
          <w:tcPr>
            <w:tcW w:w="1213" w:type="dxa"/>
          </w:tcPr>
          <w:p w:rsidR="00DD6FB0" w:rsidRPr="00090CDE" w:rsidRDefault="00DD6FB0" w:rsidP="006D6F69">
            <w:pPr>
              <w:spacing w:after="120"/>
              <w:jc w:val="center"/>
              <w:rPr>
                <w:rFonts w:eastAsia="Times New Roman" w:cs="Times New Roman"/>
                <w:sz w:val="20"/>
                <w:szCs w:val="20"/>
                <w:lang w:eastAsia="lv-LV"/>
              </w:rPr>
            </w:pPr>
            <w:r w:rsidRPr="00090CDE">
              <w:rPr>
                <w:rFonts w:eastAsia="Times New Roman" w:cs="Times New Roman"/>
                <w:sz w:val="20"/>
                <w:szCs w:val="20"/>
                <w:lang w:eastAsia="lv-LV"/>
              </w:rPr>
              <w:t>2012.gads</w:t>
            </w:r>
          </w:p>
        </w:tc>
        <w:tc>
          <w:tcPr>
            <w:tcW w:w="1134" w:type="dxa"/>
          </w:tcPr>
          <w:p w:rsidR="00DD6FB0" w:rsidRPr="00090CDE" w:rsidRDefault="00DD6FB0" w:rsidP="006D6F69">
            <w:pPr>
              <w:spacing w:after="120"/>
              <w:jc w:val="center"/>
              <w:rPr>
                <w:rFonts w:eastAsia="Times New Roman" w:cs="Times New Roman"/>
                <w:sz w:val="20"/>
                <w:szCs w:val="20"/>
                <w:lang w:eastAsia="lv-LV"/>
              </w:rPr>
            </w:pPr>
            <w:r w:rsidRPr="00090CDE">
              <w:rPr>
                <w:rFonts w:eastAsia="Times New Roman" w:cs="Times New Roman"/>
                <w:sz w:val="20"/>
                <w:szCs w:val="20"/>
                <w:lang w:eastAsia="lv-LV"/>
              </w:rPr>
              <w:t>2013.gads</w:t>
            </w:r>
          </w:p>
        </w:tc>
        <w:tc>
          <w:tcPr>
            <w:tcW w:w="1276" w:type="dxa"/>
          </w:tcPr>
          <w:p w:rsidR="00DD6FB0" w:rsidRPr="00090CDE" w:rsidRDefault="00DD6FB0" w:rsidP="006D6F69">
            <w:pPr>
              <w:spacing w:after="120"/>
              <w:jc w:val="center"/>
              <w:rPr>
                <w:rFonts w:eastAsia="Times New Roman" w:cs="Times New Roman"/>
                <w:sz w:val="20"/>
                <w:szCs w:val="20"/>
                <w:lang w:eastAsia="lv-LV"/>
              </w:rPr>
            </w:pPr>
            <w:r w:rsidRPr="00090CDE">
              <w:rPr>
                <w:rFonts w:eastAsia="Times New Roman" w:cs="Times New Roman"/>
                <w:sz w:val="20"/>
                <w:szCs w:val="20"/>
                <w:lang w:eastAsia="lv-LV"/>
              </w:rPr>
              <w:t>2014.gads</w:t>
            </w:r>
          </w:p>
        </w:tc>
        <w:tc>
          <w:tcPr>
            <w:tcW w:w="1276" w:type="dxa"/>
          </w:tcPr>
          <w:p w:rsidR="00DD6FB0" w:rsidRPr="00090CDE" w:rsidRDefault="00DD6FB0" w:rsidP="006D6F69">
            <w:pPr>
              <w:spacing w:after="120"/>
              <w:jc w:val="center"/>
              <w:rPr>
                <w:rFonts w:eastAsia="Times New Roman" w:cs="Times New Roman"/>
                <w:sz w:val="20"/>
                <w:szCs w:val="20"/>
                <w:lang w:eastAsia="lv-LV"/>
              </w:rPr>
            </w:pPr>
            <w:r w:rsidRPr="00090CDE">
              <w:rPr>
                <w:rFonts w:eastAsia="Times New Roman" w:cs="Times New Roman"/>
                <w:sz w:val="20"/>
                <w:szCs w:val="20"/>
                <w:lang w:eastAsia="lv-LV"/>
              </w:rPr>
              <w:t>2015.gads</w:t>
            </w:r>
          </w:p>
        </w:tc>
      </w:tr>
      <w:tr w:rsidR="00DD6FB0" w:rsidRPr="00090CDE" w:rsidTr="00FC27E7">
        <w:tc>
          <w:tcPr>
            <w:tcW w:w="2331" w:type="dxa"/>
          </w:tcPr>
          <w:p w:rsidR="00DD6FB0" w:rsidRPr="00090CDE" w:rsidRDefault="00DD6FB0" w:rsidP="006D6F69">
            <w:pPr>
              <w:spacing w:after="120"/>
              <w:jc w:val="left"/>
              <w:rPr>
                <w:rFonts w:eastAsia="Times New Roman" w:cs="Times New Roman"/>
                <w:sz w:val="20"/>
                <w:szCs w:val="20"/>
                <w:lang w:eastAsia="lv-LV"/>
              </w:rPr>
            </w:pPr>
            <w:r w:rsidRPr="00090CDE">
              <w:rPr>
                <w:rFonts w:eastAsia="Times New Roman" w:cs="Times New Roman"/>
                <w:sz w:val="20"/>
                <w:szCs w:val="20"/>
                <w:lang w:eastAsia="lv-LV"/>
              </w:rPr>
              <w:t>līdz 3 gadiem</w:t>
            </w:r>
          </w:p>
        </w:tc>
        <w:tc>
          <w:tcPr>
            <w:tcW w:w="1213" w:type="dxa"/>
          </w:tcPr>
          <w:p w:rsidR="00DD6FB0" w:rsidRPr="00090CDE" w:rsidRDefault="00DD6FB0" w:rsidP="006D6F69">
            <w:pPr>
              <w:spacing w:after="120"/>
              <w:jc w:val="center"/>
              <w:rPr>
                <w:rFonts w:eastAsia="Times New Roman" w:cs="Times New Roman"/>
                <w:sz w:val="20"/>
                <w:szCs w:val="20"/>
                <w:lang w:eastAsia="lv-LV"/>
              </w:rPr>
            </w:pPr>
            <w:r w:rsidRPr="00090CDE">
              <w:rPr>
                <w:rFonts w:eastAsia="Times New Roman" w:cs="Times New Roman"/>
                <w:sz w:val="20"/>
                <w:szCs w:val="20"/>
                <w:lang w:eastAsia="lv-LV"/>
              </w:rPr>
              <w:t>192</w:t>
            </w:r>
          </w:p>
        </w:tc>
        <w:tc>
          <w:tcPr>
            <w:tcW w:w="1134" w:type="dxa"/>
          </w:tcPr>
          <w:p w:rsidR="00DD6FB0" w:rsidRPr="00090CDE" w:rsidRDefault="00DD6FB0" w:rsidP="006D6F69">
            <w:pPr>
              <w:spacing w:after="120"/>
              <w:jc w:val="center"/>
              <w:rPr>
                <w:rFonts w:eastAsia="Times New Roman" w:cs="Times New Roman"/>
                <w:sz w:val="20"/>
                <w:szCs w:val="20"/>
                <w:lang w:eastAsia="lv-LV"/>
              </w:rPr>
            </w:pPr>
            <w:r w:rsidRPr="00090CDE">
              <w:rPr>
                <w:rFonts w:eastAsia="Times New Roman" w:cs="Times New Roman"/>
                <w:sz w:val="20"/>
                <w:szCs w:val="20"/>
                <w:lang w:eastAsia="lv-LV"/>
              </w:rPr>
              <w:t>203</w:t>
            </w:r>
          </w:p>
        </w:tc>
        <w:tc>
          <w:tcPr>
            <w:tcW w:w="1276" w:type="dxa"/>
          </w:tcPr>
          <w:p w:rsidR="00DD6FB0" w:rsidRPr="00090CDE" w:rsidRDefault="00DD6FB0" w:rsidP="006D6F69">
            <w:pPr>
              <w:spacing w:after="120"/>
              <w:jc w:val="center"/>
              <w:rPr>
                <w:rFonts w:eastAsia="Times New Roman" w:cs="Times New Roman"/>
                <w:sz w:val="20"/>
                <w:szCs w:val="20"/>
                <w:lang w:eastAsia="lv-LV"/>
              </w:rPr>
            </w:pPr>
            <w:r w:rsidRPr="00090CDE">
              <w:rPr>
                <w:rFonts w:eastAsia="Times New Roman" w:cs="Times New Roman"/>
                <w:sz w:val="20"/>
                <w:szCs w:val="20"/>
                <w:lang w:eastAsia="lv-LV"/>
              </w:rPr>
              <w:t>138</w:t>
            </w:r>
          </w:p>
        </w:tc>
        <w:tc>
          <w:tcPr>
            <w:tcW w:w="1276" w:type="dxa"/>
          </w:tcPr>
          <w:p w:rsidR="00DD6FB0" w:rsidRPr="00090CDE" w:rsidRDefault="00DB6F67" w:rsidP="006D6F69">
            <w:pPr>
              <w:spacing w:after="120"/>
              <w:jc w:val="center"/>
              <w:rPr>
                <w:rFonts w:eastAsia="Times New Roman" w:cs="Times New Roman"/>
                <w:sz w:val="20"/>
                <w:szCs w:val="20"/>
                <w:lang w:eastAsia="lv-LV"/>
              </w:rPr>
            </w:pPr>
            <w:r w:rsidRPr="00090CDE">
              <w:rPr>
                <w:rFonts w:eastAsia="Times New Roman" w:cs="Times New Roman"/>
                <w:sz w:val="20"/>
                <w:szCs w:val="20"/>
                <w:lang w:eastAsia="lv-LV"/>
              </w:rPr>
              <w:t>143</w:t>
            </w:r>
          </w:p>
        </w:tc>
      </w:tr>
      <w:tr w:rsidR="00DD6FB0" w:rsidRPr="00090CDE" w:rsidTr="00FC27E7">
        <w:tc>
          <w:tcPr>
            <w:tcW w:w="2331" w:type="dxa"/>
          </w:tcPr>
          <w:p w:rsidR="00DD6FB0" w:rsidRPr="00090CDE" w:rsidRDefault="00DD6FB0" w:rsidP="006D6F69">
            <w:pPr>
              <w:spacing w:after="120"/>
              <w:jc w:val="left"/>
              <w:rPr>
                <w:rFonts w:eastAsia="Times New Roman" w:cs="Times New Roman"/>
                <w:sz w:val="20"/>
                <w:szCs w:val="20"/>
                <w:lang w:eastAsia="lv-LV"/>
              </w:rPr>
            </w:pPr>
            <w:r w:rsidRPr="00090CDE">
              <w:rPr>
                <w:rFonts w:eastAsia="Times New Roman" w:cs="Times New Roman"/>
                <w:sz w:val="20"/>
                <w:szCs w:val="20"/>
                <w:lang w:eastAsia="lv-LV"/>
              </w:rPr>
              <w:t>no 4 līdz 12 gadiem</w:t>
            </w:r>
          </w:p>
        </w:tc>
        <w:tc>
          <w:tcPr>
            <w:tcW w:w="1213" w:type="dxa"/>
          </w:tcPr>
          <w:p w:rsidR="00DD6FB0" w:rsidRPr="00090CDE" w:rsidRDefault="00DD6FB0" w:rsidP="006D6F69">
            <w:pPr>
              <w:spacing w:after="120"/>
              <w:jc w:val="center"/>
              <w:rPr>
                <w:rFonts w:eastAsia="Times New Roman" w:cs="Times New Roman"/>
                <w:sz w:val="20"/>
                <w:szCs w:val="20"/>
                <w:lang w:eastAsia="lv-LV"/>
              </w:rPr>
            </w:pPr>
            <w:r w:rsidRPr="00090CDE">
              <w:rPr>
                <w:rFonts w:eastAsia="Times New Roman" w:cs="Times New Roman"/>
                <w:sz w:val="20"/>
                <w:szCs w:val="20"/>
                <w:lang w:eastAsia="lv-LV"/>
              </w:rPr>
              <w:t>504</w:t>
            </w:r>
          </w:p>
        </w:tc>
        <w:tc>
          <w:tcPr>
            <w:tcW w:w="1134" w:type="dxa"/>
          </w:tcPr>
          <w:p w:rsidR="00DD6FB0" w:rsidRPr="00090CDE" w:rsidRDefault="00DD6FB0" w:rsidP="006D6F69">
            <w:pPr>
              <w:spacing w:after="120"/>
              <w:jc w:val="center"/>
              <w:rPr>
                <w:rFonts w:eastAsia="Times New Roman" w:cs="Times New Roman"/>
                <w:sz w:val="20"/>
                <w:szCs w:val="20"/>
                <w:lang w:eastAsia="lv-LV"/>
              </w:rPr>
            </w:pPr>
            <w:r w:rsidRPr="00090CDE">
              <w:rPr>
                <w:rFonts w:eastAsia="Times New Roman" w:cs="Times New Roman"/>
                <w:sz w:val="20"/>
                <w:szCs w:val="20"/>
                <w:lang w:eastAsia="lv-LV"/>
              </w:rPr>
              <w:t>495</w:t>
            </w:r>
          </w:p>
        </w:tc>
        <w:tc>
          <w:tcPr>
            <w:tcW w:w="1276" w:type="dxa"/>
          </w:tcPr>
          <w:p w:rsidR="00DD6FB0" w:rsidRPr="00090CDE" w:rsidRDefault="00DD6FB0" w:rsidP="006D6F69">
            <w:pPr>
              <w:spacing w:after="120"/>
              <w:jc w:val="center"/>
              <w:rPr>
                <w:rFonts w:eastAsia="Times New Roman" w:cs="Times New Roman"/>
                <w:sz w:val="20"/>
                <w:szCs w:val="20"/>
                <w:lang w:eastAsia="lv-LV"/>
              </w:rPr>
            </w:pPr>
            <w:r w:rsidRPr="00090CDE">
              <w:rPr>
                <w:rFonts w:eastAsia="Times New Roman" w:cs="Times New Roman"/>
                <w:sz w:val="20"/>
                <w:szCs w:val="20"/>
                <w:lang w:eastAsia="lv-LV"/>
              </w:rPr>
              <w:t>439</w:t>
            </w:r>
          </w:p>
        </w:tc>
        <w:tc>
          <w:tcPr>
            <w:tcW w:w="1276" w:type="dxa"/>
          </w:tcPr>
          <w:p w:rsidR="00DD6FB0" w:rsidRPr="00090CDE" w:rsidRDefault="00DB6F67" w:rsidP="006D6F69">
            <w:pPr>
              <w:spacing w:after="120"/>
              <w:jc w:val="center"/>
              <w:rPr>
                <w:rFonts w:eastAsia="Times New Roman" w:cs="Times New Roman"/>
                <w:sz w:val="20"/>
                <w:szCs w:val="20"/>
                <w:lang w:eastAsia="lv-LV"/>
              </w:rPr>
            </w:pPr>
            <w:r w:rsidRPr="00090CDE">
              <w:rPr>
                <w:rFonts w:eastAsia="Times New Roman" w:cs="Times New Roman"/>
                <w:sz w:val="20"/>
                <w:szCs w:val="20"/>
                <w:lang w:eastAsia="lv-LV"/>
              </w:rPr>
              <w:t>348</w:t>
            </w:r>
          </w:p>
        </w:tc>
      </w:tr>
      <w:tr w:rsidR="00DD6FB0" w:rsidRPr="00090CDE" w:rsidTr="00FC27E7">
        <w:tc>
          <w:tcPr>
            <w:tcW w:w="2331" w:type="dxa"/>
          </w:tcPr>
          <w:p w:rsidR="00DD6FB0" w:rsidRPr="00090CDE" w:rsidRDefault="00DD6FB0" w:rsidP="006D6F69">
            <w:pPr>
              <w:spacing w:after="120"/>
              <w:jc w:val="left"/>
              <w:rPr>
                <w:rFonts w:eastAsia="Times New Roman" w:cs="Times New Roman"/>
                <w:sz w:val="20"/>
                <w:szCs w:val="20"/>
                <w:lang w:eastAsia="lv-LV"/>
              </w:rPr>
            </w:pPr>
            <w:r w:rsidRPr="00090CDE">
              <w:rPr>
                <w:rFonts w:eastAsia="Times New Roman" w:cs="Times New Roman"/>
                <w:sz w:val="20"/>
                <w:szCs w:val="20"/>
                <w:lang w:eastAsia="lv-LV"/>
              </w:rPr>
              <w:t>no 13 līdz 17 gadiem</w:t>
            </w:r>
          </w:p>
        </w:tc>
        <w:tc>
          <w:tcPr>
            <w:tcW w:w="1213" w:type="dxa"/>
          </w:tcPr>
          <w:p w:rsidR="00DD6FB0" w:rsidRPr="00090CDE" w:rsidRDefault="00DD6FB0" w:rsidP="006D6F69">
            <w:pPr>
              <w:spacing w:after="120"/>
              <w:jc w:val="center"/>
              <w:rPr>
                <w:rFonts w:eastAsia="Times New Roman" w:cs="Times New Roman"/>
                <w:sz w:val="20"/>
                <w:szCs w:val="20"/>
                <w:lang w:eastAsia="lv-LV"/>
              </w:rPr>
            </w:pPr>
            <w:r w:rsidRPr="00090CDE">
              <w:rPr>
                <w:rFonts w:eastAsia="Times New Roman" w:cs="Times New Roman"/>
                <w:sz w:val="20"/>
                <w:szCs w:val="20"/>
                <w:lang w:eastAsia="lv-LV"/>
              </w:rPr>
              <w:t>153</w:t>
            </w:r>
          </w:p>
        </w:tc>
        <w:tc>
          <w:tcPr>
            <w:tcW w:w="1134" w:type="dxa"/>
          </w:tcPr>
          <w:p w:rsidR="00DD6FB0" w:rsidRPr="00090CDE" w:rsidRDefault="00DD6FB0" w:rsidP="006D6F69">
            <w:pPr>
              <w:spacing w:after="120"/>
              <w:jc w:val="center"/>
              <w:rPr>
                <w:rFonts w:eastAsia="Times New Roman" w:cs="Times New Roman"/>
                <w:sz w:val="20"/>
                <w:szCs w:val="20"/>
                <w:lang w:eastAsia="lv-LV"/>
              </w:rPr>
            </w:pPr>
            <w:r w:rsidRPr="00090CDE">
              <w:rPr>
                <w:rFonts w:eastAsia="Times New Roman" w:cs="Times New Roman"/>
                <w:sz w:val="20"/>
                <w:szCs w:val="20"/>
                <w:lang w:eastAsia="lv-LV"/>
              </w:rPr>
              <w:t>174</w:t>
            </w:r>
          </w:p>
        </w:tc>
        <w:tc>
          <w:tcPr>
            <w:tcW w:w="1276" w:type="dxa"/>
          </w:tcPr>
          <w:p w:rsidR="00DD6FB0" w:rsidRPr="00090CDE" w:rsidRDefault="00DD6FB0" w:rsidP="006D6F69">
            <w:pPr>
              <w:spacing w:after="120"/>
              <w:jc w:val="center"/>
              <w:rPr>
                <w:rFonts w:eastAsia="Times New Roman" w:cs="Times New Roman"/>
                <w:sz w:val="20"/>
                <w:szCs w:val="20"/>
                <w:lang w:eastAsia="lv-LV"/>
              </w:rPr>
            </w:pPr>
            <w:r w:rsidRPr="00090CDE">
              <w:rPr>
                <w:rFonts w:eastAsia="Times New Roman" w:cs="Times New Roman"/>
                <w:sz w:val="20"/>
                <w:szCs w:val="20"/>
                <w:lang w:eastAsia="lv-LV"/>
              </w:rPr>
              <w:t>178</w:t>
            </w:r>
          </w:p>
        </w:tc>
        <w:tc>
          <w:tcPr>
            <w:tcW w:w="1276" w:type="dxa"/>
          </w:tcPr>
          <w:p w:rsidR="00DD6FB0" w:rsidRPr="00090CDE" w:rsidRDefault="00DB6F67" w:rsidP="006D6F69">
            <w:pPr>
              <w:spacing w:after="120"/>
              <w:jc w:val="center"/>
              <w:rPr>
                <w:rFonts w:eastAsia="Times New Roman" w:cs="Times New Roman"/>
                <w:sz w:val="20"/>
                <w:szCs w:val="20"/>
                <w:lang w:eastAsia="lv-LV"/>
              </w:rPr>
            </w:pPr>
            <w:r w:rsidRPr="00090CDE">
              <w:rPr>
                <w:rFonts w:eastAsia="Times New Roman" w:cs="Times New Roman"/>
                <w:sz w:val="20"/>
                <w:szCs w:val="20"/>
                <w:lang w:eastAsia="lv-LV"/>
              </w:rPr>
              <w:t>141</w:t>
            </w:r>
          </w:p>
        </w:tc>
      </w:tr>
    </w:tbl>
    <w:p w:rsidR="00C669C1" w:rsidRPr="00090CDE" w:rsidRDefault="00916891" w:rsidP="00916891">
      <w:pPr>
        <w:spacing w:after="120" w:line="240" w:lineRule="auto"/>
        <w:ind w:firstLine="720"/>
        <w:rPr>
          <w:rFonts w:eastAsia="Times New Roman" w:cs="Times New Roman"/>
          <w:sz w:val="10"/>
          <w:szCs w:val="10"/>
          <w:lang w:eastAsia="lv-LV"/>
        </w:rPr>
      </w:pPr>
      <w:r w:rsidRPr="00090CDE">
        <w:rPr>
          <w:rFonts w:eastAsia="Times New Roman" w:cs="Times New Roman"/>
          <w:sz w:val="28"/>
          <w:szCs w:val="28"/>
          <w:lang w:eastAsia="lv-LV"/>
        </w:rPr>
        <w:t xml:space="preserve"> </w:t>
      </w:r>
    </w:p>
    <w:p w:rsidR="003B6B4C" w:rsidRPr="00090CDE" w:rsidRDefault="00D2537E" w:rsidP="003B6B4C">
      <w:pPr>
        <w:spacing w:after="0" w:line="240" w:lineRule="auto"/>
        <w:ind w:firstLine="720"/>
        <w:rPr>
          <w:rFonts w:eastAsia="Times New Roman" w:cs="Times New Roman"/>
          <w:sz w:val="28"/>
          <w:szCs w:val="28"/>
          <w:lang w:eastAsia="lv-LV"/>
        </w:rPr>
      </w:pPr>
      <w:r w:rsidRPr="00090CDE">
        <w:rPr>
          <w:rFonts w:eastAsia="Times New Roman" w:cs="Times New Roman"/>
          <w:sz w:val="28"/>
          <w:szCs w:val="28"/>
          <w:lang w:eastAsia="lv-LV"/>
        </w:rPr>
        <w:t>No 2</w:t>
      </w:r>
      <w:r w:rsidR="003B6B4C" w:rsidRPr="00090CDE">
        <w:rPr>
          <w:rFonts w:eastAsia="Times New Roman" w:cs="Times New Roman"/>
          <w:sz w:val="28"/>
          <w:szCs w:val="28"/>
          <w:lang w:eastAsia="lv-LV"/>
        </w:rPr>
        <w:t>.tabulā apkopotajiem</w:t>
      </w:r>
      <w:r w:rsidR="00DB6F67" w:rsidRPr="00090CDE">
        <w:rPr>
          <w:rFonts w:eastAsia="Times New Roman" w:cs="Times New Roman"/>
          <w:sz w:val="28"/>
          <w:szCs w:val="28"/>
          <w:lang w:eastAsia="lv-LV"/>
        </w:rPr>
        <w:t xml:space="preserve"> datiem redzams, ka 2015</w:t>
      </w:r>
      <w:r w:rsidRPr="00090CDE">
        <w:rPr>
          <w:rFonts w:eastAsia="Times New Roman" w:cs="Times New Roman"/>
          <w:sz w:val="28"/>
          <w:szCs w:val="28"/>
          <w:lang w:eastAsia="lv-LV"/>
        </w:rPr>
        <w:t>.gadā</w:t>
      </w:r>
      <w:r w:rsidR="00976149" w:rsidRPr="00090CDE">
        <w:rPr>
          <w:rFonts w:eastAsia="Times New Roman" w:cs="Times New Roman"/>
          <w:sz w:val="28"/>
          <w:szCs w:val="28"/>
          <w:lang w:eastAsia="lv-LV"/>
        </w:rPr>
        <w:t xml:space="preserve"> analogi iepriekšējos gados konstatētajam,</w:t>
      </w:r>
      <w:r w:rsidR="003B6B4C" w:rsidRPr="00090CDE">
        <w:rPr>
          <w:rFonts w:eastAsia="Times New Roman" w:cs="Times New Roman"/>
          <w:sz w:val="28"/>
          <w:szCs w:val="28"/>
          <w:lang w:eastAsia="lv-LV"/>
        </w:rPr>
        <w:t xml:space="preserve"> bērnu </w:t>
      </w:r>
      <w:r w:rsidR="00976149" w:rsidRPr="00090CDE">
        <w:rPr>
          <w:rFonts w:eastAsia="Times New Roman" w:cs="Times New Roman"/>
          <w:sz w:val="28"/>
          <w:szCs w:val="28"/>
          <w:lang w:eastAsia="lv-LV"/>
        </w:rPr>
        <w:t xml:space="preserve">pārtrauktās </w:t>
      </w:r>
      <w:r w:rsidR="003B6B4C" w:rsidRPr="00090CDE">
        <w:rPr>
          <w:rFonts w:eastAsia="Times New Roman" w:cs="Times New Roman"/>
          <w:sz w:val="28"/>
          <w:szCs w:val="28"/>
          <w:lang w:eastAsia="lv-LV"/>
        </w:rPr>
        <w:t xml:space="preserve">aizgādības tiesības vecākiem </w:t>
      </w:r>
      <w:r w:rsidR="00976149" w:rsidRPr="00090CDE">
        <w:rPr>
          <w:rFonts w:eastAsia="Times New Roman" w:cs="Times New Roman"/>
          <w:sz w:val="28"/>
          <w:szCs w:val="28"/>
          <w:lang w:eastAsia="lv-LV"/>
        </w:rPr>
        <w:t>visbiežāk atjaunotas</w:t>
      </w:r>
      <w:r w:rsidR="003B6B4C" w:rsidRPr="00090CDE">
        <w:rPr>
          <w:rFonts w:eastAsia="Times New Roman" w:cs="Times New Roman"/>
          <w:sz w:val="28"/>
          <w:szCs w:val="28"/>
          <w:lang w:eastAsia="lv-LV"/>
        </w:rPr>
        <w:t xml:space="preserve"> par bērniem vecuma grupā </w:t>
      </w:r>
      <w:r w:rsidR="00976149" w:rsidRPr="00090CDE">
        <w:rPr>
          <w:rFonts w:eastAsia="Times New Roman" w:cs="Times New Roman"/>
          <w:sz w:val="28"/>
          <w:szCs w:val="28"/>
          <w:lang w:eastAsia="lv-LV"/>
        </w:rPr>
        <w:t xml:space="preserve">no 4 līdz 12 gadiem, ieskaitot. </w:t>
      </w:r>
    </w:p>
    <w:p w:rsidR="003B6B4C" w:rsidRPr="00090CDE" w:rsidRDefault="003B6B4C" w:rsidP="009C4692">
      <w:pPr>
        <w:spacing w:after="120" w:line="240" w:lineRule="auto"/>
        <w:rPr>
          <w:rFonts w:eastAsia="Times New Roman" w:cs="Times New Roman"/>
          <w:sz w:val="16"/>
          <w:szCs w:val="16"/>
          <w:lang w:eastAsia="lv-LV"/>
        </w:rPr>
      </w:pPr>
    </w:p>
    <w:p w:rsidR="00367743" w:rsidRPr="00090CDE" w:rsidRDefault="008A2181" w:rsidP="00B2402A">
      <w:pPr>
        <w:pStyle w:val="Heading2"/>
      </w:pPr>
      <w:bookmarkStart w:id="6" w:name="_Toc455138984"/>
      <w:r w:rsidRPr="00090CDE">
        <w:t>2</w:t>
      </w:r>
      <w:r w:rsidR="00FF45CE" w:rsidRPr="00090CDE">
        <w:t>.3</w:t>
      </w:r>
      <w:r w:rsidR="007962B8" w:rsidRPr="00090CDE">
        <w:t>.Aizgādības tiesību atņe</w:t>
      </w:r>
      <w:r w:rsidRPr="00090CDE">
        <w:t>mšana vecāka</w:t>
      </w:r>
      <w:r w:rsidR="007962B8" w:rsidRPr="00090CDE">
        <w:t>m ar tiesas spriedumu</w:t>
      </w:r>
      <w:bookmarkEnd w:id="6"/>
    </w:p>
    <w:p w:rsidR="00B2402A" w:rsidRPr="00090CDE" w:rsidRDefault="00B2402A" w:rsidP="00B2402A">
      <w:pPr>
        <w:rPr>
          <w:sz w:val="10"/>
          <w:szCs w:val="10"/>
        </w:rPr>
      </w:pPr>
    </w:p>
    <w:p w:rsidR="009743C5" w:rsidRPr="00090CDE" w:rsidRDefault="002F72FC" w:rsidP="00810198">
      <w:pPr>
        <w:autoSpaceDE w:val="0"/>
        <w:autoSpaceDN w:val="0"/>
        <w:adjustRightInd w:val="0"/>
        <w:spacing w:after="0" w:line="240" w:lineRule="auto"/>
        <w:ind w:firstLine="720"/>
        <w:rPr>
          <w:rFonts w:cs="Times New Roman"/>
          <w:sz w:val="28"/>
          <w:szCs w:val="28"/>
        </w:rPr>
      </w:pPr>
      <w:r w:rsidRPr="00090CDE">
        <w:rPr>
          <w:rFonts w:cs="Times New Roman"/>
          <w:sz w:val="28"/>
          <w:szCs w:val="28"/>
        </w:rPr>
        <w:t xml:space="preserve">Civillikuma </w:t>
      </w:r>
      <w:r w:rsidR="000523F9" w:rsidRPr="00090CDE">
        <w:rPr>
          <w:rFonts w:cs="Times New Roman"/>
          <w:sz w:val="28"/>
          <w:szCs w:val="28"/>
        </w:rPr>
        <w:t xml:space="preserve">203.pantā noteikts, ja gada laikā no aizgādības tiesību pārtraukšanas nav iespējams tās atjaunot, bāriņtiesa lemj par prasības celšanu tiesā aizgādības tiesību atņemšanai, izņemot gadījumu, kad aizgādības tiesības nevar atjaunot no vecāka neatkarīgu apstākļu dēļ. </w:t>
      </w:r>
      <w:r w:rsidRPr="00090CDE">
        <w:rPr>
          <w:rFonts w:cs="Times New Roman"/>
          <w:sz w:val="28"/>
          <w:szCs w:val="28"/>
        </w:rPr>
        <w:t xml:space="preserve">Bāriņtiesai ir tiesības lemt par prasības celšanu tiesā aizgādības tiesību atņemšanai pirms minētā termiņa iestāšanās, ja tas ir bērna interesēs. </w:t>
      </w:r>
      <w:r w:rsidR="000D7251" w:rsidRPr="00090CDE">
        <w:rPr>
          <w:rFonts w:cs="Times New Roman"/>
          <w:sz w:val="28"/>
          <w:szCs w:val="28"/>
        </w:rPr>
        <w:t>Ievērojot minēto, atsevišķos gadījumos, kad tas ir pamatots ar bērna vislabākajām interesēm, un bāriņtiesai ir pamats uzskatīt, ka faktiskā situācija ģimenē nemainīsies, vecāki nav motivēti uzņemties bērna aprūpi un audzināšanu, mainīt savu dzīvesveidu, vecāki neiesaistās savu problēmu risināšanā</w:t>
      </w:r>
      <w:r w:rsidR="00B2402A" w:rsidRPr="00090CDE">
        <w:rPr>
          <w:rFonts w:cs="Times New Roman"/>
          <w:sz w:val="28"/>
          <w:szCs w:val="28"/>
        </w:rPr>
        <w:t>, atteikušies no sadarbības ar s</w:t>
      </w:r>
      <w:r w:rsidR="000D7251" w:rsidRPr="00090CDE">
        <w:rPr>
          <w:rFonts w:cs="Times New Roman"/>
          <w:sz w:val="28"/>
          <w:szCs w:val="28"/>
        </w:rPr>
        <w:t xml:space="preserve">ociālo dienestu utt., bāriņtiesa savu pilnvaru ietvaros var </w:t>
      </w:r>
      <w:r w:rsidR="00B2402A" w:rsidRPr="00090CDE">
        <w:rPr>
          <w:rFonts w:cs="Times New Roman"/>
          <w:sz w:val="28"/>
          <w:szCs w:val="28"/>
        </w:rPr>
        <w:t xml:space="preserve">celt konkrētu prasību tiesā, negaidot attiecīgā termiņa iestāšanos. </w:t>
      </w:r>
      <w:r w:rsidR="000D7251" w:rsidRPr="00090CDE">
        <w:rPr>
          <w:rFonts w:cs="Times New Roman"/>
          <w:sz w:val="28"/>
          <w:szCs w:val="28"/>
        </w:rPr>
        <w:t xml:space="preserve">Tāpat īpašos cietsirdīgas izturēšanās, ļaunprātīgas rīcības vai nolaidības gadījumos bāriņtiesa, neatkarīgi no iepriekš noteiktā termiņa, tiesīga izvērtēt nepieciešamību, nevilcinoties iesniegt prasību tiesā par aizgādības tiesību atņemšanu. </w:t>
      </w:r>
    </w:p>
    <w:p w:rsidR="00941D4B" w:rsidRPr="00090CDE" w:rsidRDefault="009B600F" w:rsidP="007E7701">
      <w:pPr>
        <w:autoSpaceDE w:val="0"/>
        <w:autoSpaceDN w:val="0"/>
        <w:adjustRightInd w:val="0"/>
        <w:spacing w:after="0" w:line="240" w:lineRule="auto"/>
        <w:ind w:firstLine="720"/>
        <w:jc w:val="right"/>
        <w:rPr>
          <w:rFonts w:cs="Times New Roman"/>
          <w:b/>
          <w:sz w:val="26"/>
          <w:szCs w:val="26"/>
        </w:rPr>
      </w:pPr>
      <w:r w:rsidRPr="00090CDE">
        <w:rPr>
          <w:rFonts w:cs="Times New Roman"/>
          <w:b/>
          <w:sz w:val="26"/>
          <w:szCs w:val="26"/>
        </w:rPr>
        <w:t>7</w:t>
      </w:r>
      <w:r w:rsidR="003320E1" w:rsidRPr="00090CDE">
        <w:rPr>
          <w:rFonts w:cs="Times New Roman"/>
          <w:b/>
          <w:sz w:val="26"/>
          <w:szCs w:val="26"/>
        </w:rPr>
        <w:t>.diagramma</w:t>
      </w:r>
    </w:p>
    <w:p w:rsidR="00941D4B" w:rsidRPr="00090CDE" w:rsidRDefault="00941D4B" w:rsidP="00DB6F67">
      <w:pPr>
        <w:pStyle w:val="NormalWeb"/>
        <w:spacing w:before="0" w:beforeAutospacing="0" w:after="0" w:afterAutospacing="0"/>
        <w:ind w:firstLine="720"/>
        <w:jc w:val="center"/>
        <w:rPr>
          <w:sz w:val="28"/>
          <w:szCs w:val="28"/>
        </w:rPr>
      </w:pPr>
      <w:r w:rsidRPr="00090CDE">
        <w:rPr>
          <w:noProof/>
          <w:lang w:val="en-GB" w:eastAsia="en-GB"/>
        </w:rPr>
        <w:drawing>
          <wp:inline distT="0" distB="0" distL="0" distR="0" wp14:anchorId="6BE1D730" wp14:editId="520937A9">
            <wp:extent cx="5057775" cy="2476500"/>
            <wp:effectExtent l="0" t="0" r="9525"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41D4B" w:rsidRPr="00090CDE" w:rsidRDefault="00941D4B" w:rsidP="00DB6F67">
      <w:pPr>
        <w:pStyle w:val="NormalWeb"/>
        <w:spacing w:before="0" w:beforeAutospacing="0" w:after="0" w:afterAutospacing="0"/>
        <w:jc w:val="both"/>
        <w:rPr>
          <w:sz w:val="28"/>
          <w:szCs w:val="28"/>
        </w:rPr>
      </w:pPr>
    </w:p>
    <w:p w:rsidR="004C5C1C" w:rsidRPr="00090CDE" w:rsidRDefault="003320E1" w:rsidP="00DB6F67">
      <w:pPr>
        <w:pStyle w:val="NormalWeb"/>
        <w:spacing w:before="0" w:beforeAutospacing="0" w:after="0" w:afterAutospacing="0"/>
        <w:ind w:firstLine="720"/>
        <w:jc w:val="both"/>
        <w:rPr>
          <w:sz w:val="28"/>
          <w:szCs w:val="28"/>
        </w:rPr>
      </w:pPr>
      <w:r w:rsidRPr="00090CDE">
        <w:rPr>
          <w:sz w:val="28"/>
          <w:szCs w:val="28"/>
        </w:rPr>
        <w:t xml:space="preserve">Apkopojot bāriņtiesu iesūtītos datus </w:t>
      </w:r>
      <w:r w:rsidR="007550EC" w:rsidRPr="00090CDE">
        <w:rPr>
          <w:sz w:val="28"/>
          <w:szCs w:val="28"/>
        </w:rPr>
        <w:t xml:space="preserve">par laika periodu no </w:t>
      </w:r>
      <w:r w:rsidR="009C6F47" w:rsidRPr="00090CDE">
        <w:rPr>
          <w:sz w:val="28"/>
          <w:szCs w:val="28"/>
        </w:rPr>
        <w:t xml:space="preserve">2012.gada </w:t>
      </w:r>
      <w:r w:rsidR="00DB6F67" w:rsidRPr="00090CDE">
        <w:rPr>
          <w:sz w:val="28"/>
          <w:szCs w:val="28"/>
        </w:rPr>
        <w:t>līdz 2015</w:t>
      </w:r>
      <w:r w:rsidR="007550EC" w:rsidRPr="00090CDE">
        <w:rPr>
          <w:sz w:val="28"/>
          <w:szCs w:val="28"/>
        </w:rPr>
        <w:t>.gadam, konstatēts, ka 2012.gadā bāriņtiesa</w:t>
      </w:r>
      <w:r w:rsidR="00F647D8" w:rsidRPr="00090CDE">
        <w:rPr>
          <w:sz w:val="28"/>
          <w:szCs w:val="28"/>
        </w:rPr>
        <w:t>s</w:t>
      </w:r>
      <w:r w:rsidR="007550EC" w:rsidRPr="00090CDE">
        <w:rPr>
          <w:sz w:val="28"/>
          <w:szCs w:val="28"/>
        </w:rPr>
        <w:t xml:space="preserve"> </w:t>
      </w:r>
      <w:r w:rsidR="00F647D8" w:rsidRPr="00090CDE">
        <w:rPr>
          <w:sz w:val="28"/>
          <w:szCs w:val="28"/>
        </w:rPr>
        <w:t>attiecībā uz</w:t>
      </w:r>
      <w:r w:rsidR="007550EC" w:rsidRPr="00090CDE">
        <w:rPr>
          <w:sz w:val="28"/>
          <w:szCs w:val="28"/>
        </w:rPr>
        <w:t xml:space="preserve"> 1072 personām</w:t>
      </w:r>
      <w:r w:rsidR="00F647D8" w:rsidRPr="00090CDE">
        <w:rPr>
          <w:sz w:val="28"/>
          <w:szCs w:val="28"/>
        </w:rPr>
        <w:t xml:space="preserve"> </w:t>
      </w:r>
      <w:r w:rsidR="007550EC" w:rsidRPr="00090CDE">
        <w:rPr>
          <w:sz w:val="28"/>
          <w:szCs w:val="28"/>
        </w:rPr>
        <w:lastRenderedPageBreak/>
        <w:t>pieņēmušas lēmumu par prasības iesniegšanu tiesā aizgādības tiesību atņemšanai</w:t>
      </w:r>
      <w:r w:rsidR="00F647D8" w:rsidRPr="00090CDE">
        <w:rPr>
          <w:sz w:val="28"/>
          <w:szCs w:val="28"/>
        </w:rPr>
        <w:t xml:space="preserve">.  </w:t>
      </w:r>
      <w:r w:rsidR="00DB6F67" w:rsidRPr="00090CDE">
        <w:rPr>
          <w:sz w:val="28"/>
          <w:szCs w:val="28"/>
        </w:rPr>
        <w:t xml:space="preserve">Tādējādi secināms, ka bāriņtiesas, vērtējot iespējas vecākam atjaunot pārtrauktās aizgādības tiesības, konstatējušas, ka nav zuduši aizgādības tiesību pārtraukšanas iemesli, kā arī iespējams bāriņtiesas rīcībā ir saņemta cita informācija, kas norāda uz apstākļiem, kas liedz bērnam atgriezties vecāku aprūpē un tiesā iesniedzama attiecīga prasība. </w:t>
      </w:r>
      <w:r w:rsidR="00F647D8" w:rsidRPr="00090CDE">
        <w:rPr>
          <w:sz w:val="28"/>
          <w:szCs w:val="28"/>
        </w:rPr>
        <w:t>2013.gadā attiecīgs lēmums pieņemts attiecībā uz 956 vecākiem. Līdz ar to salīdzinoši 2013.gadā bāriņtiesas pieņēmušas minēto lēmumu par 116 personām mazāk nekā 2012.gadā. Līdzīgi rādītāji konstatēti 2014.gadā, proti, minētā satura lēmums pieņemts par 954 personām.</w:t>
      </w:r>
      <w:r w:rsidR="00DB6F67" w:rsidRPr="00090CDE">
        <w:rPr>
          <w:sz w:val="28"/>
          <w:szCs w:val="28"/>
        </w:rPr>
        <w:t xml:space="preserve"> Savukārt, apkopojot statistikas datus par 2015.gadu, konstatēts skaitlisko rādītāju samazinājums, proti, bāriņtiesas savas kompetences ietvaros attiecībā par 861 personu pieņēmušas lēmumu sniegt prasību tiesā aizgādības tiesību atņemšanai. </w:t>
      </w:r>
      <w:r w:rsidR="00E45E3F" w:rsidRPr="00090CDE">
        <w:rPr>
          <w:sz w:val="28"/>
          <w:szCs w:val="28"/>
        </w:rPr>
        <w:t>(Skat.7</w:t>
      </w:r>
      <w:r w:rsidR="009D5B63" w:rsidRPr="00090CDE">
        <w:rPr>
          <w:sz w:val="28"/>
          <w:szCs w:val="28"/>
        </w:rPr>
        <w:t>.diagrammu).</w:t>
      </w:r>
    </w:p>
    <w:p w:rsidR="000D6EFB" w:rsidRPr="00090CDE" w:rsidRDefault="000D6EFB" w:rsidP="00287E12">
      <w:pPr>
        <w:autoSpaceDE w:val="0"/>
        <w:autoSpaceDN w:val="0"/>
        <w:adjustRightInd w:val="0"/>
        <w:spacing w:after="0" w:line="240" w:lineRule="auto"/>
        <w:rPr>
          <w:rFonts w:cs="Times New Roman"/>
          <w:sz w:val="16"/>
          <w:szCs w:val="16"/>
        </w:rPr>
      </w:pPr>
    </w:p>
    <w:p w:rsidR="000D6EFB" w:rsidRPr="00090CDE" w:rsidRDefault="000D6EFB" w:rsidP="002F72FC">
      <w:pPr>
        <w:autoSpaceDE w:val="0"/>
        <w:autoSpaceDN w:val="0"/>
        <w:adjustRightInd w:val="0"/>
        <w:spacing w:after="0" w:line="240" w:lineRule="auto"/>
        <w:ind w:firstLine="720"/>
        <w:rPr>
          <w:rFonts w:cs="Times New Roman"/>
          <w:sz w:val="28"/>
          <w:szCs w:val="28"/>
        </w:rPr>
      </w:pPr>
      <w:r w:rsidRPr="00090CDE">
        <w:rPr>
          <w:rFonts w:cs="Times New Roman"/>
          <w:sz w:val="28"/>
          <w:szCs w:val="28"/>
        </w:rPr>
        <w:t xml:space="preserve">Aizgādības tiesību atņemšanu vienam vai abiem vecākiem kā galējo līdzekli piemēro tiesa. </w:t>
      </w:r>
    </w:p>
    <w:p w:rsidR="002F72FC" w:rsidRPr="00090CDE" w:rsidRDefault="0017042E" w:rsidP="002F72FC">
      <w:pPr>
        <w:autoSpaceDE w:val="0"/>
        <w:autoSpaceDN w:val="0"/>
        <w:adjustRightInd w:val="0"/>
        <w:spacing w:after="0" w:line="240" w:lineRule="auto"/>
        <w:ind w:firstLine="720"/>
        <w:rPr>
          <w:rFonts w:cs="Times New Roman"/>
          <w:sz w:val="28"/>
          <w:szCs w:val="28"/>
        </w:rPr>
      </w:pPr>
      <w:r w:rsidRPr="00090CDE">
        <w:rPr>
          <w:rFonts w:cs="Times New Roman"/>
          <w:sz w:val="28"/>
          <w:szCs w:val="28"/>
        </w:rPr>
        <w:t>Civillikuma normas paredz, ka vecākam aizgādības tiesības ar tiesas spriedumu var atņemt divos gadījumos:</w:t>
      </w:r>
    </w:p>
    <w:p w:rsidR="0017042E" w:rsidRPr="00090CDE" w:rsidRDefault="0017042E" w:rsidP="0017042E">
      <w:pPr>
        <w:pStyle w:val="ListParagraph"/>
        <w:numPr>
          <w:ilvl w:val="0"/>
          <w:numId w:val="11"/>
        </w:numPr>
        <w:autoSpaceDE w:val="0"/>
        <w:autoSpaceDN w:val="0"/>
        <w:adjustRightInd w:val="0"/>
        <w:spacing w:after="0" w:line="240" w:lineRule="auto"/>
        <w:rPr>
          <w:rFonts w:cs="Times New Roman"/>
          <w:sz w:val="27"/>
          <w:szCs w:val="27"/>
        </w:rPr>
      </w:pPr>
      <w:r w:rsidRPr="00090CDE">
        <w:rPr>
          <w:rFonts w:cs="Times New Roman"/>
          <w:sz w:val="27"/>
          <w:szCs w:val="27"/>
        </w:rPr>
        <w:t>viņa vainas dēļ (vecāka apzinātas rīcības vai nolaidības dēļ) ir apdraudēta veselība vai dzīvība;</w:t>
      </w:r>
    </w:p>
    <w:p w:rsidR="007C2045" w:rsidRPr="00090CDE" w:rsidRDefault="0017042E" w:rsidP="00157E1A">
      <w:pPr>
        <w:pStyle w:val="ListParagraph"/>
        <w:numPr>
          <w:ilvl w:val="0"/>
          <w:numId w:val="11"/>
        </w:numPr>
        <w:autoSpaceDE w:val="0"/>
        <w:autoSpaceDN w:val="0"/>
        <w:adjustRightInd w:val="0"/>
        <w:spacing w:after="0" w:line="240" w:lineRule="auto"/>
        <w:rPr>
          <w:rFonts w:cs="Times New Roman"/>
          <w:sz w:val="27"/>
          <w:szCs w:val="27"/>
        </w:rPr>
      </w:pPr>
      <w:r w:rsidRPr="00090CDE">
        <w:rPr>
          <w:rFonts w:cs="Times New Roman"/>
          <w:sz w:val="27"/>
          <w:szCs w:val="27"/>
        </w:rPr>
        <w:t>vecāks ļaunprātīgi izmanto savas tiesības vai nenodrošina bērna aprūpi un uzraudz</w:t>
      </w:r>
      <w:r w:rsidR="00CD7DEC" w:rsidRPr="00090CDE">
        <w:rPr>
          <w:rFonts w:cs="Times New Roman"/>
          <w:sz w:val="27"/>
          <w:szCs w:val="27"/>
        </w:rPr>
        <w:t>ību</w:t>
      </w:r>
      <w:r w:rsidR="005346FD" w:rsidRPr="00090CDE">
        <w:rPr>
          <w:rFonts w:cs="Times New Roman"/>
          <w:sz w:val="27"/>
          <w:szCs w:val="27"/>
        </w:rPr>
        <w:t>,</w:t>
      </w:r>
      <w:r w:rsidR="005E1003" w:rsidRPr="00090CDE">
        <w:rPr>
          <w:rFonts w:cs="Times New Roman"/>
          <w:sz w:val="27"/>
          <w:szCs w:val="27"/>
        </w:rPr>
        <w:t xml:space="preserve"> </w:t>
      </w:r>
      <w:r w:rsidRPr="00090CDE">
        <w:rPr>
          <w:rFonts w:cs="Times New Roman"/>
          <w:sz w:val="27"/>
          <w:szCs w:val="27"/>
        </w:rPr>
        <w:t>un tas var apdraudēt bērna fizisko, garīgo vai tikumisko attīstību.</w:t>
      </w:r>
    </w:p>
    <w:p w:rsidR="00B65C64" w:rsidRPr="00090CDE" w:rsidRDefault="00B65C64" w:rsidP="00B31326">
      <w:pPr>
        <w:autoSpaceDE w:val="0"/>
        <w:autoSpaceDN w:val="0"/>
        <w:adjustRightInd w:val="0"/>
        <w:spacing w:after="0" w:line="240" w:lineRule="auto"/>
        <w:rPr>
          <w:rFonts w:cs="Times New Roman"/>
          <w:sz w:val="16"/>
          <w:szCs w:val="16"/>
        </w:rPr>
      </w:pPr>
    </w:p>
    <w:p w:rsidR="00192B04" w:rsidRPr="00791646" w:rsidRDefault="00B65C64" w:rsidP="00D23BCE">
      <w:pPr>
        <w:autoSpaceDE w:val="0"/>
        <w:autoSpaceDN w:val="0"/>
        <w:adjustRightInd w:val="0"/>
        <w:spacing w:after="0" w:line="240" w:lineRule="auto"/>
        <w:ind w:firstLine="720"/>
        <w:rPr>
          <w:rFonts w:cs="Times New Roman"/>
          <w:sz w:val="28"/>
          <w:szCs w:val="28"/>
        </w:rPr>
      </w:pPr>
      <w:r w:rsidRPr="00791646">
        <w:rPr>
          <w:rFonts w:cs="Times New Roman"/>
          <w:sz w:val="28"/>
          <w:szCs w:val="28"/>
        </w:rPr>
        <w:t xml:space="preserve">Analizējot datus par personām, kurām ar tiesas spriedumu atņemtas aizgādības tiesības, noskaidrots, ka kopš 2012.gada pakāpeniski samazinājies gadījumu skaits, kad izvērtējot lietas būtiskos apstākļus, civilprocesuālajā kārtībā tiesa nospriedusi atņemt aizgādības tiesības vecākiem. Proti, 2012.gadā tiesa pieņēmusi 814 vecākiem nelabvēlīgu nolēmumu,  2013.gadā gadā tiesa pieņēmusi šādu nolēmumu attiecībā uz 739 vecākiem. Savukārt 2014.gadā bāriņtiesas sniegušas datus par 674 personām, kurām ar tiesas spriedumu atņemtas aizgādības tiesības, t.i. par 65 personām mazāk nekā 2013.gadā. </w:t>
      </w:r>
      <w:r w:rsidR="006B651C" w:rsidRPr="00791646">
        <w:rPr>
          <w:rFonts w:cs="Times New Roman"/>
          <w:sz w:val="28"/>
          <w:szCs w:val="28"/>
        </w:rPr>
        <w:t xml:space="preserve">Apkopojot bāriņtiesu sniegtos datus par 2015.gadu, arī konstatēts personu skaita samazinājums, proti, 2015.gadā ar tiesas spriedumu atņemtas aizgādības tiesības </w:t>
      </w:r>
      <w:r w:rsidR="001E072F" w:rsidRPr="00791646">
        <w:rPr>
          <w:rFonts w:cs="Times New Roman"/>
          <w:sz w:val="28"/>
          <w:szCs w:val="28"/>
        </w:rPr>
        <w:t xml:space="preserve">640 vecākiem, t.i. par 34 personām mazāk nekā 2014.gadā un par 99.personām mazāk nekā 2013.gadā. Tomēr, analizējot kopējo situāciju valstī, minētie rādītāji </w:t>
      </w:r>
      <w:r w:rsidR="00192B04" w:rsidRPr="00791646">
        <w:rPr>
          <w:rFonts w:cs="Times New Roman"/>
          <w:sz w:val="28"/>
          <w:szCs w:val="28"/>
        </w:rPr>
        <w:t xml:space="preserve">ir augsti un attiecīgi nav </w:t>
      </w:r>
      <w:r w:rsidR="001E072F" w:rsidRPr="00791646">
        <w:rPr>
          <w:rFonts w:cs="Times New Roman"/>
          <w:sz w:val="28"/>
          <w:szCs w:val="28"/>
        </w:rPr>
        <w:t>vērt</w:t>
      </w:r>
      <w:r w:rsidR="00192B04" w:rsidRPr="00791646">
        <w:rPr>
          <w:rFonts w:cs="Times New Roman"/>
          <w:sz w:val="28"/>
          <w:szCs w:val="28"/>
        </w:rPr>
        <w:t>ējami kā būtiski uzlabojumi bērnu aizgādības jomā. Respektīvi, datu apkopojums norāda uz to, ka tiesa</w:t>
      </w:r>
      <w:r w:rsidR="0012650F" w:rsidRPr="00791646">
        <w:rPr>
          <w:rFonts w:cs="Times New Roman"/>
          <w:sz w:val="28"/>
          <w:szCs w:val="28"/>
        </w:rPr>
        <w:t>, izvērtējot lietas faktiskos apstākļus</w:t>
      </w:r>
      <w:r w:rsidR="00192B04" w:rsidRPr="00791646">
        <w:rPr>
          <w:rFonts w:cs="Times New Roman"/>
          <w:sz w:val="28"/>
          <w:szCs w:val="28"/>
        </w:rPr>
        <w:t xml:space="preserve">, secinājusi, </w:t>
      </w:r>
      <w:r w:rsidR="00791646" w:rsidRPr="00791646">
        <w:rPr>
          <w:rFonts w:cs="Times New Roman"/>
          <w:sz w:val="28"/>
          <w:szCs w:val="28"/>
        </w:rPr>
        <w:t>ka vecāku</w:t>
      </w:r>
      <w:r w:rsidR="00192B04" w:rsidRPr="00791646">
        <w:rPr>
          <w:rFonts w:cs="Times New Roman"/>
          <w:sz w:val="28"/>
          <w:szCs w:val="28"/>
        </w:rPr>
        <w:t xml:space="preserve"> rīcības vai nolaidības dēļ apdraudēta bēr</w:t>
      </w:r>
      <w:r w:rsidR="00791646" w:rsidRPr="00791646">
        <w:rPr>
          <w:rFonts w:cs="Times New Roman"/>
          <w:sz w:val="28"/>
          <w:szCs w:val="28"/>
        </w:rPr>
        <w:t>na veselība vai dzīvība vai arī</w:t>
      </w:r>
      <w:r w:rsidR="00192B04" w:rsidRPr="00791646">
        <w:rPr>
          <w:rFonts w:cs="Times New Roman"/>
          <w:sz w:val="28"/>
          <w:szCs w:val="28"/>
        </w:rPr>
        <w:t xml:space="preserve"> vecāks ļaunprātīgi izmantojis savas tiesības vai nav nodrošinajis pilnvērtīgu bērna aprūpi un uzraudzību, kā rezultātā ti</w:t>
      </w:r>
      <w:r w:rsidR="00791646" w:rsidRPr="00791646">
        <w:rPr>
          <w:rFonts w:cs="Times New Roman"/>
          <w:sz w:val="28"/>
          <w:szCs w:val="28"/>
        </w:rPr>
        <w:t>kusi apdraudēta bērna fiziskā, garīgā vai tikumiskā</w:t>
      </w:r>
      <w:r w:rsidR="00192B04" w:rsidRPr="00791646">
        <w:rPr>
          <w:rFonts w:cs="Times New Roman"/>
          <w:sz w:val="28"/>
          <w:szCs w:val="28"/>
        </w:rPr>
        <w:t xml:space="preserve"> attīstība. </w:t>
      </w:r>
    </w:p>
    <w:p w:rsidR="000F5778" w:rsidRPr="00090CDE" w:rsidRDefault="00D23BCE" w:rsidP="00B65C64">
      <w:pPr>
        <w:autoSpaceDE w:val="0"/>
        <w:autoSpaceDN w:val="0"/>
        <w:adjustRightInd w:val="0"/>
        <w:spacing w:after="0" w:line="240" w:lineRule="auto"/>
        <w:ind w:firstLine="720"/>
        <w:rPr>
          <w:rFonts w:cs="Times New Roman"/>
          <w:sz w:val="28"/>
          <w:szCs w:val="28"/>
        </w:rPr>
      </w:pPr>
      <w:r w:rsidRPr="00090CDE">
        <w:rPr>
          <w:rFonts w:cs="Times New Roman"/>
          <w:sz w:val="28"/>
          <w:szCs w:val="28"/>
        </w:rPr>
        <w:t>S</w:t>
      </w:r>
      <w:r w:rsidR="00B65C64" w:rsidRPr="00090CDE">
        <w:rPr>
          <w:rFonts w:cs="Times New Roman"/>
          <w:sz w:val="28"/>
          <w:szCs w:val="28"/>
        </w:rPr>
        <w:t xml:space="preserve">alīdzinot datu apkopojumu 8.diagrammā-  par aizgādības tiesību atņemšanu ar 7.diagrammā atspoguļotajiem datiem par prasības iesniegšanu tiesā, secināms, ka bāriņtiesu pieņemto lēmumu skaits par attiecīgas prasības iesniegšanu tiesā lielākoties pārsniedz ar tiesas spriedumu atņemto gadījumu skaitu, kas norāda uz to, ka, neskatoties uz bāriņtiesas pieņemto lēmumu, ne visos gadījumos tiesa kā galīgo līdzekli piemērojusi personai aizgādības tiesību atņemšanu. </w:t>
      </w:r>
    </w:p>
    <w:p w:rsidR="003E1A8A" w:rsidRPr="00090CDE" w:rsidRDefault="006B651C" w:rsidP="00B31326">
      <w:pPr>
        <w:jc w:val="right"/>
        <w:rPr>
          <w:rFonts w:cs="Times New Roman"/>
          <w:b/>
          <w:sz w:val="26"/>
          <w:szCs w:val="26"/>
        </w:rPr>
      </w:pPr>
      <w:r w:rsidRPr="00090CDE">
        <w:rPr>
          <w:rFonts w:cs="Times New Roman"/>
          <w:b/>
          <w:sz w:val="26"/>
          <w:szCs w:val="26"/>
        </w:rPr>
        <w:lastRenderedPageBreak/>
        <w:t>8.diagramma</w:t>
      </w:r>
    </w:p>
    <w:p w:rsidR="003E1A8A" w:rsidRPr="00090CDE" w:rsidRDefault="003E1A8A" w:rsidP="00D23BCE">
      <w:pPr>
        <w:autoSpaceDE w:val="0"/>
        <w:autoSpaceDN w:val="0"/>
        <w:adjustRightInd w:val="0"/>
        <w:spacing w:after="0" w:line="240" w:lineRule="auto"/>
        <w:ind w:firstLine="720"/>
        <w:rPr>
          <w:rFonts w:cs="Times New Roman"/>
          <w:sz w:val="28"/>
          <w:szCs w:val="28"/>
        </w:rPr>
      </w:pPr>
      <w:r w:rsidRPr="00090CDE">
        <w:rPr>
          <w:noProof/>
          <w:lang w:val="en-GB" w:eastAsia="en-GB"/>
        </w:rPr>
        <w:drawing>
          <wp:inline distT="0" distB="0" distL="0" distR="0" wp14:anchorId="46A92589" wp14:editId="6211DC1F">
            <wp:extent cx="5219700" cy="2543175"/>
            <wp:effectExtent l="0" t="0" r="0" b="9525"/>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E1A8A" w:rsidRPr="00090CDE" w:rsidRDefault="003E1A8A" w:rsidP="00B31326">
      <w:pPr>
        <w:autoSpaceDE w:val="0"/>
        <w:autoSpaceDN w:val="0"/>
        <w:adjustRightInd w:val="0"/>
        <w:spacing w:after="0" w:line="240" w:lineRule="auto"/>
        <w:rPr>
          <w:rFonts w:cs="Times New Roman"/>
          <w:sz w:val="28"/>
          <w:szCs w:val="28"/>
        </w:rPr>
      </w:pPr>
    </w:p>
    <w:p w:rsidR="00D23BCE" w:rsidRPr="00090CDE" w:rsidRDefault="008F2177" w:rsidP="00F02B60">
      <w:pPr>
        <w:autoSpaceDE w:val="0"/>
        <w:autoSpaceDN w:val="0"/>
        <w:adjustRightInd w:val="0"/>
        <w:spacing w:after="0" w:line="240" w:lineRule="auto"/>
        <w:ind w:firstLine="720"/>
        <w:rPr>
          <w:rFonts w:cs="Times New Roman"/>
          <w:sz w:val="28"/>
          <w:szCs w:val="28"/>
        </w:rPr>
      </w:pPr>
      <w:r w:rsidRPr="00090CDE">
        <w:rPr>
          <w:rFonts w:cs="Times New Roman"/>
          <w:sz w:val="28"/>
          <w:szCs w:val="28"/>
        </w:rPr>
        <w:t xml:space="preserve">Aplūkojot </w:t>
      </w:r>
      <w:r w:rsidR="00630F24" w:rsidRPr="00090CDE">
        <w:rPr>
          <w:rFonts w:cs="Times New Roman"/>
          <w:sz w:val="28"/>
          <w:szCs w:val="28"/>
        </w:rPr>
        <w:t xml:space="preserve">bērnu, kuru vecākiem ar tiesas spriedumu atņemtas aizgādības tiesības, skaita izmaiņas pēdējos </w:t>
      </w:r>
      <w:r w:rsidR="00D23BCE" w:rsidRPr="00090CDE">
        <w:rPr>
          <w:rFonts w:cs="Times New Roman"/>
          <w:sz w:val="28"/>
          <w:szCs w:val="28"/>
        </w:rPr>
        <w:t>četros</w:t>
      </w:r>
      <w:r w:rsidR="00630F24" w:rsidRPr="00090CDE">
        <w:rPr>
          <w:rFonts w:cs="Times New Roman"/>
          <w:sz w:val="28"/>
          <w:szCs w:val="28"/>
        </w:rPr>
        <w:t xml:space="preserve"> gados, vislielākais bērnu skaits konstatēts 2012.gadā, proti, 1078 bērni. Līdz ar to tie bērni, kuriem ir tikai viens vecāks vai abiem vecākiem atņemtas aizgādības tiesības, ieguvuš</w:t>
      </w:r>
      <w:r w:rsidR="002B004C" w:rsidRPr="00090CDE">
        <w:rPr>
          <w:rFonts w:cs="Times New Roman"/>
          <w:sz w:val="28"/>
          <w:szCs w:val="28"/>
        </w:rPr>
        <w:t>i juridiski brīva bērna statusu.</w:t>
      </w:r>
      <w:r w:rsidR="00D23BCE" w:rsidRPr="00090CDE">
        <w:rPr>
          <w:rFonts w:cs="Times New Roman"/>
          <w:sz w:val="28"/>
          <w:szCs w:val="28"/>
        </w:rPr>
        <w:t xml:space="preserve"> Turpmākajos gados analogi rādītājiem par vecākiem, vēroj</w:t>
      </w:r>
      <w:r w:rsidR="00C27DED">
        <w:rPr>
          <w:rFonts w:cs="Times New Roman"/>
          <w:sz w:val="28"/>
          <w:szCs w:val="28"/>
        </w:rPr>
        <w:t>ama tendence samazināties bērnu</w:t>
      </w:r>
      <w:r w:rsidR="00D23BCE" w:rsidRPr="00090CDE">
        <w:rPr>
          <w:rFonts w:cs="Times New Roman"/>
          <w:sz w:val="28"/>
          <w:szCs w:val="28"/>
        </w:rPr>
        <w:t xml:space="preserve"> </w:t>
      </w:r>
      <w:r w:rsidR="00CA6F8D">
        <w:rPr>
          <w:rFonts w:cs="Times New Roman"/>
          <w:sz w:val="28"/>
          <w:szCs w:val="28"/>
        </w:rPr>
        <w:t>skaitam, kuru vecākiem atņemtas aizgādība</w:t>
      </w:r>
      <w:r w:rsidR="00D23BCE" w:rsidRPr="00090CDE">
        <w:rPr>
          <w:rFonts w:cs="Times New Roman"/>
          <w:sz w:val="28"/>
          <w:szCs w:val="28"/>
        </w:rPr>
        <w:t>s</w:t>
      </w:r>
      <w:r w:rsidR="00CA6F8D">
        <w:rPr>
          <w:rFonts w:cs="Times New Roman"/>
          <w:sz w:val="28"/>
          <w:szCs w:val="28"/>
        </w:rPr>
        <w:t xml:space="preserve"> tiesības ar tiesas spr</w:t>
      </w:r>
      <w:r w:rsidR="00D23BCE" w:rsidRPr="00090CDE">
        <w:rPr>
          <w:rFonts w:cs="Times New Roman"/>
          <w:sz w:val="28"/>
          <w:szCs w:val="28"/>
        </w:rPr>
        <w:t>i</w:t>
      </w:r>
      <w:r w:rsidR="00CA6F8D">
        <w:rPr>
          <w:rFonts w:cs="Times New Roman"/>
          <w:sz w:val="28"/>
          <w:szCs w:val="28"/>
        </w:rPr>
        <w:t>e</w:t>
      </w:r>
      <w:r w:rsidR="00D23BCE" w:rsidRPr="00090CDE">
        <w:rPr>
          <w:rFonts w:cs="Times New Roman"/>
          <w:sz w:val="28"/>
          <w:szCs w:val="28"/>
        </w:rPr>
        <w:t>dumu.</w:t>
      </w:r>
      <w:r w:rsidR="00630F24" w:rsidRPr="00090CDE">
        <w:rPr>
          <w:rFonts w:cs="Times New Roman"/>
          <w:sz w:val="28"/>
          <w:szCs w:val="28"/>
        </w:rPr>
        <w:t xml:space="preserve"> Salīdzinoši 2013.gadā sniegtas ziņas par 952 bērniem, kuru vecākiem tiesa atņēmusi aizgādības tiesības, kas ir par 126 bērniem mazāk nekā 2012.gadā. </w:t>
      </w:r>
      <w:r w:rsidR="002B004C" w:rsidRPr="00090CDE">
        <w:rPr>
          <w:rFonts w:cs="Times New Roman"/>
          <w:sz w:val="28"/>
          <w:szCs w:val="28"/>
        </w:rPr>
        <w:t xml:space="preserve">Savukārt 2014.gadā sniegtas ziņas par </w:t>
      </w:r>
      <w:r w:rsidR="00E93AB2" w:rsidRPr="00090CDE">
        <w:rPr>
          <w:rFonts w:cs="Times New Roman"/>
          <w:sz w:val="28"/>
          <w:szCs w:val="28"/>
        </w:rPr>
        <w:t>874 šādiem bērniem (</w:t>
      </w:r>
      <w:r w:rsidR="00D23BCE" w:rsidRPr="00090CDE">
        <w:rPr>
          <w:rFonts w:cs="Times New Roman"/>
          <w:sz w:val="28"/>
          <w:szCs w:val="28"/>
        </w:rPr>
        <w:t>t.i. par 78 bērniem mazāk nekā 2013.gadā)</w:t>
      </w:r>
      <w:r w:rsidR="00E93AB2" w:rsidRPr="00090CDE">
        <w:rPr>
          <w:rFonts w:cs="Times New Roman"/>
          <w:sz w:val="28"/>
          <w:szCs w:val="28"/>
        </w:rPr>
        <w:t>. Konstatēts, ka 2015.gadā bāriņtiesas sniegušas datus par 828 bērniem, kuru vecākiem ar tiesas spriedumu atņemtas aizgādības tiesības (t.i. par 46 bērniem mazāk nekā 2014.gadā).</w:t>
      </w:r>
    </w:p>
    <w:p w:rsidR="008A2181" w:rsidRPr="00090CDE" w:rsidRDefault="002E6283" w:rsidP="00810198">
      <w:pPr>
        <w:autoSpaceDE w:val="0"/>
        <w:autoSpaceDN w:val="0"/>
        <w:adjustRightInd w:val="0"/>
        <w:spacing w:after="0" w:line="240" w:lineRule="auto"/>
        <w:ind w:firstLine="720"/>
        <w:rPr>
          <w:rFonts w:cs="Times New Roman"/>
          <w:sz w:val="28"/>
          <w:szCs w:val="28"/>
        </w:rPr>
      </w:pPr>
      <w:r w:rsidRPr="00090CDE">
        <w:rPr>
          <w:rFonts w:cs="Times New Roman"/>
          <w:sz w:val="28"/>
          <w:szCs w:val="28"/>
        </w:rPr>
        <w:t>Ap</w:t>
      </w:r>
      <w:r w:rsidR="007C05D1" w:rsidRPr="00090CDE">
        <w:rPr>
          <w:rFonts w:cs="Times New Roman"/>
          <w:sz w:val="28"/>
          <w:szCs w:val="28"/>
        </w:rPr>
        <w:t xml:space="preserve">kopojot datus vecuma </w:t>
      </w:r>
      <w:r w:rsidR="00B65C64" w:rsidRPr="00090CDE">
        <w:rPr>
          <w:rFonts w:cs="Times New Roman"/>
          <w:sz w:val="28"/>
          <w:szCs w:val="28"/>
        </w:rPr>
        <w:t>griezumā, noskaidrots</w:t>
      </w:r>
      <w:r w:rsidRPr="00090CDE">
        <w:rPr>
          <w:rFonts w:cs="Times New Roman"/>
          <w:sz w:val="28"/>
          <w:szCs w:val="28"/>
        </w:rPr>
        <w:t>, ka lielākais bērnu skaits, kuru vecākiem ar tiesas spriedumu atņemtas aizgādības tiesības</w:t>
      </w:r>
      <w:r w:rsidR="007C05D1" w:rsidRPr="00090CDE">
        <w:rPr>
          <w:rFonts w:cs="Times New Roman"/>
          <w:sz w:val="28"/>
          <w:szCs w:val="28"/>
        </w:rPr>
        <w:t>,</w:t>
      </w:r>
      <w:r w:rsidRPr="00090CDE">
        <w:rPr>
          <w:rFonts w:cs="Times New Roman"/>
          <w:sz w:val="28"/>
          <w:szCs w:val="28"/>
        </w:rPr>
        <w:t xml:space="preserve"> ir vecuma grupā no 4-12 gadiem, proti, pārskata periodā vecākiem</w:t>
      </w:r>
      <w:r w:rsidR="00F02B60" w:rsidRPr="00090CDE">
        <w:rPr>
          <w:rFonts w:cs="Times New Roman"/>
          <w:sz w:val="28"/>
          <w:szCs w:val="28"/>
        </w:rPr>
        <w:t xml:space="preserve"> (6</w:t>
      </w:r>
      <w:r w:rsidR="007C05D1" w:rsidRPr="00090CDE">
        <w:rPr>
          <w:rFonts w:cs="Times New Roman"/>
          <w:sz w:val="28"/>
          <w:szCs w:val="28"/>
        </w:rPr>
        <w:t>4</w:t>
      </w:r>
      <w:r w:rsidR="00F02B60" w:rsidRPr="00090CDE">
        <w:rPr>
          <w:rFonts w:cs="Times New Roman"/>
          <w:sz w:val="28"/>
          <w:szCs w:val="28"/>
        </w:rPr>
        <w:t>0</w:t>
      </w:r>
      <w:r w:rsidR="007C05D1" w:rsidRPr="00090CDE">
        <w:rPr>
          <w:rFonts w:cs="Times New Roman"/>
          <w:sz w:val="28"/>
          <w:szCs w:val="28"/>
        </w:rPr>
        <w:t xml:space="preserve">) kopskaitā </w:t>
      </w:r>
      <w:r w:rsidRPr="00090CDE">
        <w:rPr>
          <w:rFonts w:cs="Times New Roman"/>
          <w:sz w:val="28"/>
          <w:szCs w:val="28"/>
        </w:rPr>
        <w:t xml:space="preserve">tika atņemtas </w:t>
      </w:r>
      <w:r w:rsidR="002548B2" w:rsidRPr="00090CDE">
        <w:rPr>
          <w:rFonts w:cs="Times New Roman"/>
          <w:sz w:val="28"/>
          <w:szCs w:val="28"/>
        </w:rPr>
        <w:t>479</w:t>
      </w:r>
      <w:r w:rsidR="007C05D1" w:rsidRPr="00090CDE">
        <w:rPr>
          <w:rFonts w:cs="Times New Roman"/>
          <w:sz w:val="28"/>
          <w:szCs w:val="28"/>
        </w:rPr>
        <w:t xml:space="preserve"> bērnu aizgādības tiesības minētajā vecuma grupā. </w:t>
      </w:r>
      <w:r w:rsidR="005346FD" w:rsidRPr="00090CDE">
        <w:rPr>
          <w:rFonts w:cs="Times New Roman"/>
          <w:sz w:val="28"/>
          <w:szCs w:val="28"/>
        </w:rPr>
        <w:t xml:space="preserve"> </w:t>
      </w:r>
    </w:p>
    <w:p w:rsidR="008A2181" w:rsidRPr="00090CDE" w:rsidRDefault="008A2181" w:rsidP="00B31326">
      <w:pPr>
        <w:autoSpaceDE w:val="0"/>
        <w:autoSpaceDN w:val="0"/>
        <w:adjustRightInd w:val="0"/>
        <w:spacing w:after="0" w:line="240" w:lineRule="auto"/>
        <w:rPr>
          <w:rFonts w:cs="Times New Roman"/>
          <w:sz w:val="28"/>
          <w:szCs w:val="28"/>
        </w:rPr>
      </w:pPr>
    </w:p>
    <w:p w:rsidR="0058347A" w:rsidRPr="00090CDE" w:rsidRDefault="008A2181" w:rsidP="00B31326">
      <w:pPr>
        <w:pStyle w:val="Heading2"/>
      </w:pPr>
      <w:bookmarkStart w:id="7" w:name="_Toc455138985"/>
      <w:r w:rsidRPr="00090CDE">
        <w:t>2.4.Aizgādības tiesību atjaunošana vecākam ar tiesas spriedumu</w:t>
      </w:r>
      <w:bookmarkEnd w:id="7"/>
    </w:p>
    <w:p w:rsidR="00B31326" w:rsidRPr="0020228B" w:rsidRDefault="00B31326" w:rsidP="00B31326">
      <w:pPr>
        <w:rPr>
          <w:sz w:val="16"/>
          <w:szCs w:val="16"/>
        </w:rPr>
      </w:pPr>
    </w:p>
    <w:p w:rsidR="00917844" w:rsidRPr="00090CDE" w:rsidRDefault="000268E4" w:rsidP="00E065E2">
      <w:pPr>
        <w:ind w:firstLine="720"/>
        <w:rPr>
          <w:rFonts w:cs="Times New Roman"/>
          <w:sz w:val="28"/>
          <w:szCs w:val="28"/>
        </w:rPr>
      </w:pPr>
      <w:r w:rsidRPr="00090CDE">
        <w:rPr>
          <w:rFonts w:cs="Times New Roman"/>
          <w:sz w:val="28"/>
          <w:szCs w:val="28"/>
        </w:rPr>
        <w:t>Atbilstoši</w:t>
      </w:r>
      <w:r w:rsidRPr="00090CDE">
        <w:rPr>
          <w:sz w:val="28"/>
          <w:szCs w:val="28"/>
        </w:rPr>
        <w:t xml:space="preserve"> Civilprocesa likuma 244.</w:t>
      </w:r>
      <w:r w:rsidRPr="00090CDE">
        <w:rPr>
          <w:sz w:val="28"/>
          <w:szCs w:val="28"/>
          <w:vertAlign w:val="superscript"/>
        </w:rPr>
        <w:t>7</w:t>
      </w:r>
      <w:r w:rsidRPr="00090CDE">
        <w:rPr>
          <w:sz w:val="28"/>
          <w:szCs w:val="28"/>
        </w:rPr>
        <w:t xml:space="preserve"> pantā noteiktajam, ja pēc tam, kad likumīgā spēkā stājies spriedums lietā, kas izriet no aizgādības vai saskarsmes tiesībām, mainās apstākļi, katra puse ir tiesīga iesniegt jaunu prasību tiesā vispārējā kārtībā. Līdz ar to gadījumā, ja vecāks uzskata, ka ir zuduši iemesli, kuru dēļ viņam tika atņemtas bērna aizgādības tiesības, viņam ir tiesības vērsties tiesā ar attiecīgu prasības pieteikumu aizgādības tiesību atjaunošanai. </w:t>
      </w:r>
      <w:r w:rsidR="00AE0836" w:rsidRPr="00090CDE">
        <w:rPr>
          <w:sz w:val="28"/>
          <w:szCs w:val="28"/>
        </w:rPr>
        <w:t>Minētā likuma 244.</w:t>
      </w:r>
      <w:r w:rsidR="00AE0836" w:rsidRPr="00090CDE">
        <w:rPr>
          <w:sz w:val="28"/>
          <w:szCs w:val="28"/>
          <w:vertAlign w:val="superscript"/>
        </w:rPr>
        <w:t>2</w:t>
      </w:r>
      <w:r w:rsidR="00AE0836" w:rsidRPr="00090CDE">
        <w:rPr>
          <w:sz w:val="28"/>
          <w:szCs w:val="28"/>
        </w:rPr>
        <w:t xml:space="preserve"> pantā noteikts, ka prasību lietās, kas izriet no aizgādības tiesībām, var celt bērna vecāki, aizbildņi, bāriņtiesa vai prokurors. Bāriņtiesu likuma 16.pants paredz bāriņtiesas tiesības iesniegt tiesā prasības pieteikumus un pieteikumus bērna interesēs. </w:t>
      </w:r>
      <w:r w:rsidR="00AE0836" w:rsidRPr="00090CDE">
        <w:rPr>
          <w:sz w:val="28"/>
          <w:szCs w:val="28"/>
        </w:rPr>
        <w:lastRenderedPageBreak/>
        <w:t xml:space="preserve">Vienlaikus Bāriņtiesu likuma 18.panta 6.punktā </w:t>
      </w:r>
      <w:r w:rsidR="00050C07" w:rsidRPr="00090CDE">
        <w:rPr>
          <w:sz w:val="28"/>
          <w:szCs w:val="28"/>
        </w:rPr>
        <w:t xml:space="preserve">noteikts, ka bāriņtiesa, aizstāvot bērna personiskās intereses attiecībās ar vecākiem, aizbildņiem un citām personām veic citus normatīvajos aktos noteiktos bērna personisko interešu aizsardzības pasākumus. </w:t>
      </w:r>
      <w:r w:rsidR="00905921" w:rsidRPr="00090CDE">
        <w:rPr>
          <w:sz w:val="28"/>
          <w:szCs w:val="28"/>
        </w:rPr>
        <w:t>Ievērojot iepriekš minēto, arī bāriņtiesa atsevišķos gadījumos, ievērojot bērna vislabākās intereses, savu pilnvaru ietvaros var lemt par prasības iesniegšanu tiesā aizgādības tiesību atjaunošanai vecākam.</w:t>
      </w:r>
    </w:p>
    <w:p w:rsidR="0020228B" w:rsidRPr="0020228B" w:rsidRDefault="00287E12" w:rsidP="0020228B">
      <w:pPr>
        <w:jc w:val="right"/>
        <w:rPr>
          <w:rFonts w:cs="Times New Roman"/>
          <w:b/>
          <w:sz w:val="26"/>
          <w:szCs w:val="26"/>
        </w:rPr>
      </w:pPr>
      <w:r w:rsidRPr="00090CDE">
        <w:rPr>
          <w:rFonts w:cs="Times New Roman"/>
          <w:b/>
          <w:sz w:val="26"/>
          <w:szCs w:val="26"/>
        </w:rPr>
        <w:t>9</w:t>
      </w:r>
      <w:r w:rsidR="00B31326" w:rsidRPr="00090CDE">
        <w:rPr>
          <w:rFonts w:cs="Times New Roman"/>
          <w:b/>
          <w:sz w:val="26"/>
          <w:szCs w:val="26"/>
        </w:rPr>
        <w:t>.diagramma</w:t>
      </w:r>
    </w:p>
    <w:p w:rsidR="006F30F6" w:rsidRPr="00090CDE" w:rsidRDefault="006F30F6" w:rsidP="006F30F6">
      <w:pPr>
        <w:spacing w:after="0" w:line="240" w:lineRule="auto"/>
        <w:rPr>
          <w:rFonts w:cs="Times New Roman"/>
          <w:sz w:val="4"/>
          <w:szCs w:val="4"/>
        </w:rPr>
      </w:pPr>
    </w:p>
    <w:p w:rsidR="003E1A8A" w:rsidRPr="00090CDE" w:rsidRDefault="003E1A8A" w:rsidP="006F30F6">
      <w:pPr>
        <w:spacing w:after="0" w:line="240" w:lineRule="auto"/>
        <w:rPr>
          <w:rFonts w:cs="Times New Roman"/>
          <w:sz w:val="4"/>
          <w:szCs w:val="4"/>
        </w:rPr>
      </w:pPr>
    </w:p>
    <w:p w:rsidR="003E1A8A" w:rsidRPr="00090CDE" w:rsidRDefault="003E1A8A" w:rsidP="006F30F6">
      <w:pPr>
        <w:spacing w:after="0" w:line="240" w:lineRule="auto"/>
        <w:rPr>
          <w:rFonts w:cs="Times New Roman"/>
          <w:sz w:val="4"/>
          <w:szCs w:val="4"/>
        </w:rPr>
      </w:pPr>
    </w:p>
    <w:p w:rsidR="003E1A8A" w:rsidRPr="00090CDE" w:rsidRDefault="003E1A8A" w:rsidP="00E55064">
      <w:pPr>
        <w:spacing w:after="0" w:line="240" w:lineRule="auto"/>
        <w:jc w:val="center"/>
        <w:rPr>
          <w:rFonts w:cs="Times New Roman"/>
          <w:sz w:val="4"/>
          <w:szCs w:val="4"/>
        </w:rPr>
      </w:pPr>
      <w:r w:rsidRPr="00090CDE">
        <w:rPr>
          <w:noProof/>
          <w:lang w:val="en-GB" w:eastAsia="en-GB"/>
        </w:rPr>
        <w:drawing>
          <wp:inline distT="0" distB="0" distL="0" distR="0" wp14:anchorId="62368BEB" wp14:editId="61A29D78">
            <wp:extent cx="5772150" cy="2581275"/>
            <wp:effectExtent l="0" t="0" r="0" b="952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E1A8A" w:rsidRPr="00090CDE" w:rsidRDefault="003E1A8A" w:rsidP="006F30F6">
      <w:pPr>
        <w:spacing w:after="0" w:line="240" w:lineRule="auto"/>
        <w:rPr>
          <w:rFonts w:cs="Times New Roman"/>
          <w:sz w:val="4"/>
          <w:szCs w:val="4"/>
        </w:rPr>
      </w:pPr>
    </w:p>
    <w:p w:rsidR="003E1A8A" w:rsidRPr="00090CDE" w:rsidRDefault="003E1A8A" w:rsidP="006F30F6">
      <w:pPr>
        <w:spacing w:after="0" w:line="240" w:lineRule="auto"/>
        <w:rPr>
          <w:rFonts w:cs="Times New Roman"/>
          <w:sz w:val="4"/>
          <w:szCs w:val="4"/>
        </w:rPr>
      </w:pPr>
    </w:p>
    <w:p w:rsidR="003E1A8A" w:rsidRPr="00090CDE" w:rsidRDefault="003E1A8A" w:rsidP="006F30F6">
      <w:pPr>
        <w:spacing w:after="0" w:line="240" w:lineRule="auto"/>
        <w:rPr>
          <w:rFonts w:cs="Times New Roman"/>
          <w:sz w:val="4"/>
          <w:szCs w:val="4"/>
        </w:rPr>
      </w:pPr>
    </w:p>
    <w:p w:rsidR="003E1A8A" w:rsidRPr="00090CDE" w:rsidRDefault="003E1A8A" w:rsidP="006F30F6">
      <w:pPr>
        <w:spacing w:after="0" w:line="240" w:lineRule="auto"/>
        <w:rPr>
          <w:rFonts w:cs="Times New Roman"/>
          <w:sz w:val="4"/>
          <w:szCs w:val="4"/>
        </w:rPr>
      </w:pPr>
    </w:p>
    <w:p w:rsidR="003E1A8A" w:rsidRPr="00090CDE" w:rsidRDefault="003E1A8A" w:rsidP="006F30F6">
      <w:pPr>
        <w:spacing w:after="0" w:line="240" w:lineRule="auto"/>
        <w:rPr>
          <w:rFonts w:cs="Times New Roman"/>
          <w:sz w:val="4"/>
          <w:szCs w:val="4"/>
        </w:rPr>
      </w:pPr>
    </w:p>
    <w:p w:rsidR="003E1A8A" w:rsidRPr="00090CDE" w:rsidRDefault="003E1A8A" w:rsidP="006F30F6">
      <w:pPr>
        <w:spacing w:after="0" w:line="240" w:lineRule="auto"/>
        <w:rPr>
          <w:rFonts w:cs="Times New Roman"/>
          <w:sz w:val="4"/>
          <w:szCs w:val="4"/>
        </w:rPr>
      </w:pPr>
    </w:p>
    <w:p w:rsidR="0020228B" w:rsidRPr="00090CDE" w:rsidRDefault="0020228B" w:rsidP="0020228B">
      <w:pPr>
        <w:ind w:firstLine="720"/>
        <w:rPr>
          <w:rFonts w:cs="Times New Roman"/>
          <w:sz w:val="28"/>
          <w:szCs w:val="28"/>
        </w:rPr>
      </w:pPr>
      <w:r w:rsidRPr="00090CDE">
        <w:rPr>
          <w:rFonts w:cs="Times New Roman"/>
          <w:sz w:val="28"/>
          <w:szCs w:val="28"/>
        </w:rPr>
        <w:t>Izvērtējot bāriņtiesu rīcībā esošo statistisko informāciju, noskaidrots, ka 2012.un 2013.gadā bāriņtiesas 9 gadījumos, savukārt 2014.gadā- 11 gadījumos pieņēmušas bērnu interesēs lēmumu par prasības iesniegšanu tiesā aizgādības tiesību atjaunošanai. Savukārt tiesa nospriedusi 2012.gadā atjaunot aizgādības tiesības 5 personām, 2013.gadā pieņemts attiecīgs nolēmums par 14 personām, un 2014.gadā- par 9 personām.  Šie vecāki atguvuši tiesības īstenot bērnu aizgādības tiesības, proti, aprūpēt bērnu un pārstāvēt viņa personiskās un mantiskās intereses. Tādējādi 8 bērni 2012.gadā, 23 bērni 2013.gadā un 13 bērni 2014.gadā atgriezušies sava vecāka (vecāku) aprūpē pēc tam, kad stājies spēkā tiesas spriedums par aizgādības tiesību atjaunošanu. Konstatēts, ka 2015.gadā par 8 personām bāriņtiesa pieņēmus lēmumu sniegt prasību tiesā aizgādības tiesību atjaunošanai; 11 personām tiesa atjaunojusi aizgādības tiesības, un 16 bērniem 2015.gadā bijusi iespēja atgriezties ģimeniskā vidē pie saviem vecākiem. Tādējādi secināms, ka</w:t>
      </w:r>
      <w:r w:rsidR="00C04B57">
        <w:rPr>
          <w:rFonts w:cs="Times New Roman"/>
          <w:sz w:val="28"/>
          <w:szCs w:val="28"/>
        </w:rPr>
        <w:t>,</w:t>
      </w:r>
      <w:r w:rsidRPr="00090CDE">
        <w:rPr>
          <w:rFonts w:cs="Times New Roman"/>
          <w:sz w:val="28"/>
          <w:szCs w:val="28"/>
        </w:rPr>
        <w:t xml:space="preserve"> salīdzinot datus par vecāku skaitu, kuriem katru gad</w:t>
      </w:r>
      <w:r w:rsidR="00806377">
        <w:rPr>
          <w:rFonts w:cs="Times New Roman"/>
          <w:sz w:val="28"/>
          <w:szCs w:val="28"/>
        </w:rPr>
        <w:t>u tiek atņemta</w:t>
      </w:r>
      <w:r w:rsidR="00E12E65">
        <w:rPr>
          <w:rFonts w:cs="Times New Roman"/>
          <w:sz w:val="28"/>
          <w:szCs w:val="28"/>
        </w:rPr>
        <w:t>s aizgādības ti</w:t>
      </w:r>
      <w:r w:rsidRPr="00090CDE">
        <w:rPr>
          <w:rFonts w:cs="Times New Roman"/>
          <w:sz w:val="28"/>
          <w:szCs w:val="28"/>
        </w:rPr>
        <w:t>esības, ļoti neliels skaits v</w:t>
      </w:r>
      <w:r w:rsidR="00FB62B5">
        <w:rPr>
          <w:rFonts w:cs="Times New Roman"/>
          <w:sz w:val="28"/>
          <w:szCs w:val="28"/>
        </w:rPr>
        <w:t xml:space="preserve">ecāku </w:t>
      </w:r>
      <w:r w:rsidR="00E12E65">
        <w:rPr>
          <w:rFonts w:cs="Times New Roman"/>
          <w:sz w:val="28"/>
          <w:szCs w:val="28"/>
        </w:rPr>
        <w:t>pēc tam, kad aizgādība</w:t>
      </w:r>
      <w:r w:rsidRPr="00090CDE">
        <w:rPr>
          <w:rFonts w:cs="Times New Roman"/>
          <w:sz w:val="28"/>
          <w:szCs w:val="28"/>
        </w:rPr>
        <w:t>s</w:t>
      </w:r>
      <w:r w:rsidR="00E12E65">
        <w:rPr>
          <w:rFonts w:cs="Times New Roman"/>
          <w:sz w:val="28"/>
          <w:szCs w:val="28"/>
        </w:rPr>
        <w:t xml:space="preserve"> tiesības atņemtas</w:t>
      </w:r>
      <w:r w:rsidRPr="00090CDE">
        <w:rPr>
          <w:rFonts w:cs="Times New Roman"/>
          <w:sz w:val="28"/>
          <w:szCs w:val="28"/>
        </w:rPr>
        <w:t xml:space="preserve">, uzlabojuši situāciju ģimenē, novērsuši riskus, kas pastāvējuši laikā, kad bērns atradies vecāka aprūpē un </w:t>
      </w:r>
      <w:r w:rsidR="00E12E65">
        <w:rPr>
          <w:rFonts w:cs="Times New Roman"/>
          <w:sz w:val="28"/>
          <w:szCs w:val="28"/>
        </w:rPr>
        <w:t>ir bijuši moti</w:t>
      </w:r>
      <w:r w:rsidRPr="00090CDE">
        <w:rPr>
          <w:rFonts w:cs="Times New Roman"/>
          <w:sz w:val="28"/>
          <w:szCs w:val="28"/>
        </w:rPr>
        <w:t xml:space="preserve">vēti atgriezt bērnus ģimenē. </w:t>
      </w:r>
    </w:p>
    <w:p w:rsidR="003E1A8A" w:rsidRPr="00090CDE" w:rsidRDefault="003E1A8A" w:rsidP="006F30F6">
      <w:pPr>
        <w:spacing w:after="0" w:line="240" w:lineRule="auto"/>
        <w:rPr>
          <w:rFonts w:cs="Times New Roman"/>
          <w:sz w:val="4"/>
          <w:szCs w:val="4"/>
        </w:rPr>
      </w:pPr>
    </w:p>
    <w:p w:rsidR="002861BF" w:rsidRPr="00090CDE" w:rsidRDefault="008E2FCB" w:rsidP="00917844">
      <w:pPr>
        <w:pStyle w:val="Heading1"/>
        <w:rPr>
          <w:sz w:val="32"/>
        </w:rPr>
      </w:pPr>
      <w:bookmarkStart w:id="8" w:name="_Toc455138986"/>
      <w:r w:rsidRPr="00090CDE">
        <w:rPr>
          <w:sz w:val="32"/>
        </w:rPr>
        <w:lastRenderedPageBreak/>
        <w:t>3</w:t>
      </w:r>
      <w:r w:rsidR="00917844" w:rsidRPr="00090CDE">
        <w:rPr>
          <w:sz w:val="32"/>
        </w:rPr>
        <w:t>.</w:t>
      </w:r>
      <w:r w:rsidR="00B1297D" w:rsidRPr="00090CDE">
        <w:rPr>
          <w:sz w:val="32"/>
        </w:rPr>
        <w:t>Pārskats par bērnu ārpusģimenes aprūpi</w:t>
      </w:r>
      <w:bookmarkEnd w:id="8"/>
    </w:p>
    <w:p w:rsidR="0049687F" w:rsidRPr="00090CDE" w:rsidRDefault="008E2FCB" w:rsidP="006F30F6">
      <w:pPr>
        <w:pStyle w:val="Heading2"/>
      </w:pPr>
      <w:bookmarkStart w:id="9" w:name="_Toc455138987"/>
      <w:r w:rsidRPr="00090CDE">
        <w:t>3</w:t>
      </w:r>
      <w:r w:rsidR="0049687F" w:rsidRPr="00090CDE">
        <w:t>.1.Ārpusģimenes aprūpē esošo bērnu skaits</w:t>
      </w:r>
      <w:bookmarkEnd w:id="9"/>
    </w:p>
    <w:p w:rsidR="006F30F6" w:rsidRPr="00090CDE" w:rsidRDefault="006F30F6" w:rsidP="006F30F6">
      <w:pPr>
        <w:rPr>
          <w:sz w:val="10"/>
          <w:szCs w:val="10"/>
        </w:rPr>
      </w:pPr>
    </w:p>
    <w:p w:rsidR="00CB2857" w:rsidRPr="00090CDE" w:rsidRDefault="00CB2857" w:rsidP="0071326B">
      <w:pPr>
        <w:spacing w:after="0" w:line="240" w:lineRule="auto"/>
        <w:ind w:firstLine="720"/>
        <w:rPr>
          <w:sz w:val="28"/>
          <w:szCs w:val="28"/>
        </w:rPr>
      </w:pPr>
      <w:r w:rsidRPr="00090CDE">
        <w:rPr>
          <w:sz w:val="28"/>
          <w:szCs w:val="28"/>
        </w:rPr>
        <w:t>Konvencijas par bērnu tiesībām 20.panta 1.un 2.punkts nosaka, ka bērnam, kuram uz laiku vai pastāvīgi nav savas ģimenes vides vai kuru, lai vislabāk ievērotu viņa paša intereses, nedrīkst atstāt šajā vidē, ir tiesības uz īpašu valsts aizsardzību un palīdzību. Dalībva</w:t>
      </w:r>
      <w:r w:rsidR="00257863" w:rsidRPr="00090CDE">
        <w:rPr>
          <w:sz w:val="28"/>
          <w:szCs w:val="28"/>
        </w:rPr>
        <w:t>lstis saskaņā ar saviem nacionāl</w:t>
      </w:r>
      <w:r w:rsidRPr="00090CDE">
        <w:rPr>
          <w:sz w:val="28"/>
          <w:szCs w:val="28"/>
        </w:rPr>
        <w:t>ajiem likumiem nodrošina minētajam bērnam citu aprūpi.</w:t>
      </w:r>
    </w:p>
    <w:p w:rsidR="000B7F6F" w:rsidRPr="00090CDE" w:rsidRDefault="000B7F6F" w:rsidP="00A00961">
      <w:pPr>
        <w:spacing w:after="0" w:line="240" w:lineRule="auto"/>
        <w:ind w:firstLine="720"/>
        <w:rPr>
          <w:sz w:val="28"/>
          <w:szCs w:val="28"/>
        </w:rPr>
      </w:pPr>
      <w:r w:rsidRPr="00090CDE">
        <w:rPr>
          <w:sz w:val="28"/>
          <w:szCs w:val="28"/>
        </w:rPr>
        <w:t xml:space="preserve">Tādējādi gadījumos, kad ģimenē netiek ievērotas bērna tiesības (bērna atstāšana bez iztikas līdzekļiem, nepietiekama aprūpe, pamatvajadzību nodrošinājums, vardarbība u.c.) </w:t>
      </w:r>
      <w:r w:rsidR="00A00961" w:rsidRPr="00090CDE">
        <w:rPr>
          <w:sz w:val="28"/>
          <w:szCs w:val="28"/>
        </w:rPr>
        <w:t xml:space="preserve">un </w:t>
      </w:r>
      <w:r w:rsidR="00A00961" w:rsidRPr="00090CDE">
        <w:rPr>
          <w:rFonts w:eastAsia="Times New Roman" w:cs="Times New Roman"/>
          <w:sz w:val="28"/>
          <w:szCs w:val="28"/>
          <w:lang w:eastAsia="lv-LV"/>
        </w:rPr>
        <w:t xml:space="preserve">nav iespējams novērst bērna attīstībai nelabvēlīgos apstākļus, viņam paliekot ģimenē, </w:t>
      </w:r>
      <w:r w:rsidRPr="00090CDE">
        <w:rPr>
          <w:rFonts w:eastAsia="Times New Roman" w:cs="Times New Roman"/>
          <w:sz w:val="28"/>
          <w:szCs w:val="28"/>
          <w:lang w:eastAsia="lv-LV"/>
        </w:rPr>
        <w:t>bērnu šķiršana no bioloģiskās ģimenes ir nepieciešama bērna vislabāko interešu nodrošināšanai, jo ikvienam bērnam ir tiesības uz tādiem dzīves apstākļiem un labvēlīgu sociālo vidi, kas nodrošina viņa pilnvērtīgu fizisko un intelektuālo attīstību.</w:t>
      </w:r>
    </w:p>
    <w:p w:rsidR="00A04994" w:rsidRPr="00090CDE" w:rsidRDefault="00DD5665" w:rsidP="00A04994">
      <w:pPr>
        <w:spacing w:after="0" w:line="240" w:lineRule="auto"/>
        <w:ind w:firstLine="600"/>
        <w:rPr>
          <w:rFonts w:eastAsia="Times New Roman" w:cs="Times New Roman"/>
          <w:sz w:val="27"/>
          <w:szCs w:val="27"/>
          <w:lang w:eastAsia="lv-LV"/>
        </w:rPr>
      </w:pPr>
      <w:r w:rsidRPr="00090CDE">
        <w:rPr>
          <w:rFonts w:eastAsia="Times New Roman" w:cs="Times New Roman"/>
          <w:sz w:val="28"/>
          <w:szCs w:val="28"/>
          <w:lang w:eastAsia="lv-LV"/>
        </w:rPr>
        <w:t>Bērnu tiesību aizsardzības likuma 27.panta pirmā daļa ietver likumdevēja noteikto gadījumu uzskaitījumu, kad ir iespējama bērna šķiršana no ģimenes, proti, ja:</w:t>
      </w:r>
      <w:r w:rsidR="00A04994" w:rsidRPr="00090CDE">
        <w:rPr>
          <w:rFonts w:eastAsia="Times New Roman" w:cs="Times New Roman"/>
          <w:sz w:val="28"/>
          <w:szCs w:val="28"/>
          <w:lang w:eastAsia="lv-LV"/>
        </w:rPr>
        <w:t xml:space="preserve"> </w:t>
      </w:r>
      <w:r w:rsidR="00A04994" w:rsidRPr="00090CDE">
        <w:rPr>
          <w:rFonts w:eastAsia="Times New Roman" w:cs="Times New Roman"/>
          <w:sz w:val="27"/>
          <w:szCs w:val="27"/>
          <w:lang w:eastAsia="lv-LV"/>
        </w:rPr>
        <w:t xml:space="preserve">1) </w:t>
      </w:r>
      <w:r w:rsidRPr="00090CDE">
        <w:rPr>
          <w:rFonts w:eastAsia="Times New Roman" w:cs="Times New Roman"/>
          <w:sz w:val="27"/>
          <w:szCs w:val="27"/>
          <w:lang w:eastAsia="lv-LV"/>
        </w:rPr>
        <w:t>bērna dzīvība, veselība vai attīstība ir nopietni apdraudēta vardarbības dēļ vai ir pamatotas aizdomas par vardarbību pret bērnu, kā arī aprūpes trūkuma vai mājas</w:t>
      </w:r>
      <w:r w:rsidR="00A04994" w:rsidRPr="00090CDE">
        <w:rPr>
          <w:rFonts w:eastAsia="Times New Roman" w:cs="Times New Roman"/>
          <w:sz w:val="27"/>
          <w:szCs w:val="27"/>
          <w:lang w:eastAsia="lv-LV"/>
        </w:rPr>
        <w:t xml:space="preserve"> apstākļu (sociālās vides) dēļ;</w:t>
      </w:r>
    </w:p>
    <w:p w:rsidR="00DD5665" w:rsidRPr="00090CDE" w:rsidRDefault="00DD5665" w:rsidP="00A04994">
      <w:pPr>
        <w:spacing w:after="0" w:line="240" w:lineRule="auto"/>
        <w:ind w:firstLine="600"/>
        <w:rPr>
          <w:rFonts w:eastAsia="Times New Roman" w:cs="Times New Roman"/>
          <w:sz w:val="27"/>
          <w:szCs w:val="27"/>
          <w:lang w:eastAsia="lv-LV"/>
        </w:rPr>
      </w:pPr>
      <w:r w:rsidRPr="00090CDE">
        <w:rPr>
          <w:rFonts w:eastAsia="Times New Roman" w:cs="Times New Roman"/>
          <w:sz w:val="27"/>
          <w:szCs w:val="27"/>
          <w:lang w:eastAsia="lv-LV"/>
        </w:rPr>
        <w:t>2) bērns nopietni apdraud savu veselību vai attīstību, lietojot alkoholu, narkotiskās vai toksiskās vielas;</w:t>
      </w:r>
    </w:p>
    <w:p w:rsidR="00DD5665" w:rsidRPr="00090CDE" w:rsidRDefault="00DD5665" w:rsidP="00A04994">
      <w:pPr>
        <w:spacing w:after="0" w:line="240" w:lineRule="auto"/>
        <w:ind w:left="600"/>
        <w:rPr>
          <w:rFonts w:eastAsia="Times New Roman" w:cs="Times New Roman"/>
          <w:sz w:val="27"/>
          <w:szCs w:val="27"/>
          <w:lang w:eastAsia="lv-LV"/>
        </w:rPr>
      </w:pPr>
      <w:r w:rsidRPr="00090CDE">
        <w:rPr>
          <w:rFonts w:eastAsia="Times New Roman" w:cs="Times New Roman"/>
          <w:sz w:val="27"/>
          <w:szCs w:val="27"/>
          <w:lang w:eastAsia="lv-LV"/>
        </w:rPr>
        <w:t>3) bērns ir izdarījis noziedzīgu nodarījumu.</w:t>
      </w:r>
    </w:p>
    <w:p w:rsidR="00B31326" w:rsidRPr="00090CDE" w:rsidRDefault="00A00961" w:rsidP="00B31326">
      <w:pPr>
        <w:spacing w:after="0" w:line="293" w:lineRule="atLeast"/>
        <w:ind w:firstLine="600"/>
        <w:rPr>
          <w:rFonts w:eastAsia="Times New Roman" w:cs="Times New Roman"/>
          <w:sz w:val="28"/>
          <w:szCs w:val="28"/>
          <w:lang w:eastAsia="lv-LV"/>
        </w:rPr>
      </w:pPr>
      <w:r w:rsidRPr="00090CDE">
        <w:rPr>
          <w:rFonts w:eastAsia="Times New Roman" w:cs="Times New Roman"/>
          <w:sz w:val="28"/>
          <w:szCs w:val="28"/>
          <w:lang w:eastAsia="lv-LV"/>
        </w:rPr>
        <w:t>Detalizētāk apstākļi, kuriem pastāvot, nodibināma ārpusģimenes aprūpe, paredzēti Civillikumā un Bāriņtiesu likumā. Tādējādi, pastāvot noteiktiem lietas būtiskajiem faktiskajiem apstākļiem, piemēram, radušās būtiskas domsta</w:t>
      </w:r>
      <w:r w:rsidR="0098493A">
        <w:rPr>
          <w:rFonts w:eastAsia="Times New Roman" w:cs="Times New Roman"/>
          <w:sz w:val="28"/>
          <w:szCs w:val="28"/>
          <w:lang w:eastAsia="lv-LV"/>
        </w:rPr>
        <w:t>rpības bērna un vecāku attiecībā</w:t>
      </w:r>
      <w:r w:rsidRPr="00090CDE">
        <w:rPr>
          <w:rFonts w:eastAsia="Times New Roman" w:cs="Times New Roman"/>
          <w:sz w:val="28"/>
          <w:szCs w:val="28"/>
          <w:lang w:eastAsia="lv-LV"/>
        </w:rPr>
        <w:t>s</w:t>
      </w:r>
      <w:r w:rsidR="002D08A8" w:rsidRPr="00090CDE">
        <w:rPr>
          <w:rFonts w:eastAsia="Times New Roman" w:cs="Times New Roman"/>
          <w:sz w:val="28"/>
          <w:szCs w:val="28"/>
          <w:lang w:eastAsia="lv-LV"/>
        </w:rPr>
        <w:t xml:space="preserve"> vai abi bērna vecāki ir nepilngadīgi, bāriņtiesai, prioritāri nodrošinot nepilngadīgu bērnu tiesību un interešu aizsardzību, kā to paredz Bāriņtiesu likuma 4.panta otrā daļa, nepieciešams nodrošināt</w:t>
      </w:r>
      <w:r w:rsidR="00B31326" w:rsidRPr="00090CDE">
        <w:rPr>
          <w:rFonts w:eastAsia="Times New Roman" w:cs="Times New Roman"/>
          <w:sz w:val="28"/>
          <w:szCs w:val="28"/>
          <w:lang w:eastAsia="lv-LV"/>
        </w:rPr>
        <w:t xml:space="preserve"> bāreņiem un bez vecāku gādības palikušiem bērniem</w:t>
      </w:r>
      <w:r w:rsidR="002D08A8" w:rsidRPr="00090CDE">
        <w:rPr>
          <w:rFonts w:eastAsia="Times New Roman" w:cs="Times New Roman"/>
          <w:sz w:val="28"/>
          <w:szCs w:val="28"/>
          <w:lang w:eastAsia="lv-LV"/>
        </w:rPr>
        <w:t xml:space="preserve"> ārpusģimenes aprūpi</w:t>
      </w:r>
      <w:r w:rsidR="00B65C64" w:rsidRPr="00090CDE">
        <w:rPr>
          <w:rFonts w:eastAsia="Times New Roman" w:cs="Times New Roman"/>
          <w:sz w:val="28"/>
          <w:szCs w:val="28"/>
          <w:lang w:eastAsia="lv-LV"/>
        </w:rPr>
        <w:t xml:space="preserve"> pie aizbildņa, audžuģimenē vai</w:t>
      </w:r>
      <w:r w:rsidR="00A2044B" w:rsidRPr="00090CDE">
        <w:rPr>
          <w:rFonts w:eastAsia="Times New Roman" w:cs="Times New Roman"/>
          <w:sz w:val="28"/>
          <w:szCs w:val="28"/>
          <w:lang w:eastAsia="lv-LV"/>
        </w:rPr>
        <w:t xml:space="preserve"> institūcij</w:t>
      </w:r>
      <w:r w:rsidR="00B65C64" w:rsidRPr="00090CDE">
        <w:rPr>
          <w:rFonts w:eastAsia="Times New Roman" w:cs="Times New Roman"/>
          <w:sz w:val="28"/>
          <w:szCs w:val="28"/>
          <w:lang w:eastAsia="lv-LV"/>
        </w:rPr>
        <w:t>ā</w:t>
      </w:r>
      <w:r w:rsidR="00A2044B" w:rsidRPr="00090CDE">
        <w:rPr>
          <w:rFonts w:eastAsia="Times New Roman" w:cs="Times New Roman"/>
          <w:sz w:val="28"/>
          <w:szCs w:val="28"/>
          <w:lang w:eastAsia="lv-LV"/>
        </w:rPr>
        <w:t>.</w:t>
      </w:r>
    </w:p>
    <w:p w:rsidR="00B31326" w:rsidRPr="00090CDE" w:rsidRDefault="00B31326" w:rsidP="00B31326">
      <w:pPr>
        <w:spacing w:after="0" w:line="293" w:lineRule="atLeast"/>
        <w:ind w:firstLine="600"/>
        <w:rPr>
          <w:rFonts w:eastAsia="Times New Roman" w:cs="Times New Roman"/>
          <w:sz w:val="28"/>
          <w:szCs w:val="28"/>
          <w:lang w:eastAsia="lv-LV"/>
        </w:rPr>
      </w:pPr>
      <w:r w:rsidRPr="00090CDE">
        <w:rPr>
          <w:rFonts w:eastAsia="Times New Roman" w:cs="Times New Roman"/>
          <w:sz w:val="28"/>
          <w:szCs w:val="28"/>
          <w:lang w:eastAsia="lv-LV"/>
        </w:rPr>
        <w:t>Bērnu tiesību aizsardzības likuma 1.pantā definēts:</w:t>
      </w:r>
    </w:p>
    <w:p w:rsidR="002D08A8" w:rsidRPr="00090CDE" w:rsidRDefault="00B31326" w:rsidP="00B31326">
      <w:pPr>
        <w:pStyle w:val="ListParagraph"/>
        <w:numPr>
          <w:ilvl w:val="0"/>
          <w:numId w:val="22"/>
        </w:numPr>
        <w:spacing w:after="0" w:line="293" w:lineRule="atLeast"/>
        <w:rPr>
          <w:rFonts w:eastAsia="Times New Roman" w:cs="Times New Roman"/>
          <w:sz w:val="28"/>
          <w:szCs w:val="28"/>
          <w:lang w:eastAsia="lv-LV"/>
        </w:rPr>
      </w:pPr>
      <w:r w:rsidRPr="00090CDE">
        <w:rPr>
          <w:rFonts w:eastAsia="Times New Roman" w:cs="Times New Roman"/>
          <w:sz w:val="28"/>
          <w:szCs w:val="28"/>
          <w:lang w:eastAsia="lv-LV"/>
        </w:rPr>
        <w:t>bārenis- bērns, kura vecāki miruši vai likumā noteiktajā kārtībā atzīti par mirušiem;</w:t>
      </w:r>
    </w:p>
    <w:p w:rsidR="00B31326" w:rsidRPr="00090CDE" w:rsidRDefault="00B31326" w:rsidP="00B31326">
      <w:pPr>
        <w:pStyle w:val="ListParagraph"/>
        <w:numPr>
          <w:ilvl w:val="0"/>
          <w:numId w:val="22"/>
        </w:numPr>
        <w:spacing w:after="0" w:line="293" w:lineRule="atLeast"/>
        <w:rPr>
          <w:rFonts w:eastAsia="Times New Roman" w:cs="Times New Roman"/>
          <w:sz w:val="28"/>
          <w:szCs w:val="28"/>
          <w:lang w:eastAsia="lv-LV"/>
        </w:rPr>
      </w:pPr>
      <w:r w:rsidRPr="00090CDE">
        <w:rPr>
          <w:rFonts w:eastAsia="Times New Roman" w:cs="Times New Roman"/>
          <w:sz w:val="28"/>
          <w:szCs w:val="28"/>
          <w:lang w:eastAsia="lv-LV"/>
        </w:rPr>
        <w:t>bez vecāku gādības palicis bērns- bērns, kura vecāki nav zināmi, ir pazud</w:t>
      </w:r>
      <w:r w:rsidR="0098493A">
        <w:rPr>
          <w:rFonts w:eastAsia="Times New Roman" w:cs="Times New Roman"/>
          <w:sz w:val="28"/>
          <w:szCs w:val="28"/>
          <w:lang w:eastAsia="lv-LV"/>
        </w:rPr>
        <w:t>uši vai ilgstošas slimības dēļ n</w:t>
      </w:r>
      <w:r w:rsidRPr="00090CDE">
        <w:rPr>
          <w:rFonts w:eastAsia="Times New Roman" w:cs="Times New Roman"/>
          <w:sz w:val="28"/>
          <w:szCs w:val="28"/>
          <w:lang w:eastAsia="lv-LV"/>
        </w:rPr>
        <w:t>espēj realizēt aizgādību vai kura vecākiem pārtrauktas vai atņemtas aizgādības tiesības.</w:t>
      </w:r>
    </w:p>
    <w:p w:rsidR="004F4134" w:rsidRPr="00090CDE" w:rsidRDefault="002D08A8" w:rsidP="00A2044B">
      <w:pPr>
        <w:spacing w:after="0" w:line="293" w:lineRule="atLeast"/>
        <w:ind w:firstLine="600"/>
        <w:rPr>
          <w:rFonts w:eastAsia="Times New Roman" w:cs="Times New Roman"/>
          <w:sz w:val="28"/>
          <w:szCs w:val="28"/>
          <w:lang w:eastAsia="lv-LV"/>
        </w:rPr>
      </w:pPr>
      <w:r w:rsidRPr="00090CDE">
        <w:rPr>
          <w:rFonts w:eastAsia="Times New Roman" w:cs="Times New Roman"/>
          <w:sz w:val="28"/>
          <w:szCs w:val="28"/>
          <w:lang w:eastAsia="lv-LV"/>
        </w:rPr>
        <w:t>Nepieciešamības gadījum</w:t>
      </w:r>
      <w:r w:rsidR="003409C6" w:rsidRPr="00090CDE">
        <w:rPr>
          <w:rFonts w:eastAsia="Times New Roman" w:cs="Times New Roman"/>
          <w:sz w:val="28"/>
          <w:szCs w:val="28"/>
          <w:lang w:eastAsia="lv-LV"/>
        </w:rPr>
        <w:t>ā</w:t>
      </w:r>
      <w:r w:rsidRPr="00090CDE">
        <w:rPr>
          <w:rFonts w:eastAsia="Times New Roman" w:cs="Times New Roman"/>
          <w:sz w:val="28"/>
          <w:szCs w:val="28"/>
          <w:lang w:eastAsia="lv-LV"/>
        </w:rPr>
        <w:t xml:space="preserve"> bāriņtiesa, rūpējoties par ārpusģimenes aprūpē esoša bērna tiesību nodrošin</w:t>
      </w:r>
      <w:r w:rsidR="003409C6" w:rsidRPr="00090CDE">
        <w:rPr>
          <w:rFonts w:eastAsia="Times New Roman" w:cs="Times New Roman"/>
          <w:sz w:val="28"/>
          <w:szCs w:val="28"/>
          <w:lang w:eastAsia="lv-LV"/>
        </w:rPr>
        <w:t>ājumu, risina jaut</w:t>
      </w:r>
      <w:r w:rsidR="003708BB" w:rsidRPr="00090CDE">
        <w:rPr>
          <w:rFonts w:eastAsia="Times New Roman" w:cs="Times New Roman"/>
          <w:sz w:val="28"/>
          <w:szCs w:val="28"/>
          <w:lang w:eastAsia="lv-LV"/>
        </w:rPr>
        <w:t>ājumu</w:t>
      </w:r>
      <w:r w:rsidRPr="00090CDE">
        <w:rPr>
          <w:rFonts w:eastAsia="Times New Roman" w:cs="Times New Roman"/>
          <w:sz w:val="28"/>
          <w:szCs w:val="28"/>
          <w:lang w:eastAsia="lv-LV"/>
        </w:rPr>
        <w:t xml:space="preserve"> </w:t>
      </w:r>
      <w:r w:rsidR="003409C6" w:rsidRPr="00090CDE">
        <w:rPr>
          <w:rFonts w:eastAsia="Times New Roman" w:cs="Times New Roman"/>
          <w:sz w:val="28"/>
          <w:szCs w:val="28"/>
          <w:lang w:eastAsia="lv-LV"/>
        </w:rPr>
        <w:t xml:space="preserve">par citas ārpusģimenes aprūpes formas vai attiecīgi cita aprūpes īstenotāja nodrošināšanu bērnam. </w:t>
      </w:r>
      <w:r w:rsidR="003708BB" w:rsidRPr="00090CDE">
        <w:rPr>
          <w:rFonts w:eastAsia="Times New Roman" w:cs="Times New Roman"/>
          <w:sz w:val="28"/>
          <w:szCs w:val="28"/>
          <w:lang w:eastAsia="lv-LV"/>
        </w:rPr>
        <w:t>Piemēram, bāriņtiesa institūcijā ievietotam bērnam atradusi iespēju dzīvot aizbildņa ģimenē vai</w:t>
      </w:r>
      <w:r w:rsidR="00FB05A6" w:rsidRPr="00090CDE">
        <w:rPr>
          <w:rFonts w:eastAsia="Times New Roman" w:cs="Times New Roman"/>
          <w:sz w:val="28"/>
          <w:szCs w:val="28"/>
          <w:lang w:eastAsia="lv-LV"/>
        </w:rPr>
        <w:t>,</w:t>
      </w:r>
      <w:r w:rsidR="003708BB" w:rsidRPr="00090CDE">
        <w:rPr>
          <w:rFonts w:eastAsia="Times New Roman" w:cs="Times New Roman"/>
          <w:sz w:val="28"/>
          <w:szCs w:val="28"/>
          <w:lang w:eastAsia="lv-LV"/>
        </w:rPr>
        <w:t xml:space="preserve"> konstatējot aizbildņa darbībā pārkāpumus</w:t>
      </w:r>
      <w:r w:rsidR="00FB05A6" w:rsidRPr="00090CDE">
        <w:rPr>
          <w:rFonts w:eastAsia="Times New Roman" w:cs="Times New Roman"/>
          <w:sz w:val="28"/>
          <w:szCs w:val="28"/>
          <w:lang w:eastAsia="lv-LV"/>
        </w:rPr>
        <w:t>,</w:t>
      </w:r>
      <w:r w:rsidR="003708BB" w:rsidRPr="00090CDE">
        <w:rPr>
          <w:rFonts w:eastAsia="Times New Roman" w:cs="Times New Roman"/>
          <w:sz w:val="28"/>
          <w:szCs w:val="28"/>
          <w:lang w:eastAsia="lv-LV"/>
        </w:rPr>
        <w:t xml:space="preserve"> radusies nepi</w:t>
      </w:r>
      <w:r w:rsidR="00B65C64" w:rsidRPr="00090CDE">
        <w:rPr>
          <w:rFonts w:eastAsia="Times New Roman" w:cs="Times New Roman"/>
          <w:sz w:val="28"/>
          <w:szCs w:val="28"/>
          <w:lang w:eastAsia="lv-LV"/>
        </w:rPr>
        <w:t>eciešamība lemt par bērna aprūpes nodrošināšanu</w:t>
      </w:r>
      <w:r w:rsidR="003708BB" w:rsidRPr="00090CDE">
        <w:rPr>
          <w:rFonts w:eastAsia="Times New Roman" w:cs="Times New Roman"/>
          <w:sz w:val="28"/>
          <w:szCs w:val="28"/>
          <w:lang w:eastAsia="lv-LV"/>
        </w:rPr>
        <w:t xml:space="preserve"> audžuģimenē.  </w:t>
      </w:r>
    </w:p>
    <w:p w:rsidR="00FB05A6" w:rsidRPr="00090CDE" w:rsidRDefault="00CD056C" w:rsidP="004F4134">
      <w:pPr>
        <w:spacing w:after="0" w:line="293" w:lineRule="atLeast"/>
        <w:ind w:firstLine="600"/>
        <w:rPr>
          <w:rFonts w:eastAsia="Times New Roman" w:cs="Times New Roman"/>
          <w:sz w:val="28"/>
          <w:szCs w:val="28"/>
          <w:lang w:eastAsia="lv-LV"/>
        </w:rPr>
      </w:pPr>
      <w:r w:rsidRPr="00090CDE">
        <w:rPr>
          <w:rFonts w:eastAsia="Times New Roman" w:cs="Times New Roman"/>
          <w:sz w:val="28"/>
          <w:szCs w:val="28"/>
          <w:lang w:eastAsia="lv-LV"/>
        </w:rPr>
        <w:t xml:space="preserve">Ārpusģimenes aprūpes mērķis saskaņā ar Bērnu tiesību aizsardzības likuma 32.pantā noteikto ir radīt bērnam aizsargātības sajūtu, nodrošināt apstākļus viņa </w:t>
      </w:r>
      <w:r w:rsidRPr="00090CDE">
        <w:rPr>
          <w:rFonts w:eastAsia="Times New Roman" w:cs="Times New Roman"/>
          <w:sz w:val="28"/>
          <w:szCs w:val="28"/>
          <w:lang w:eastAsia="lv-LV"/>
        </w:rPr>
        <w:lastRenderedPageBreak/>
        <w:t>attīstībai un labklājībai.</w:t>
      </w:r>
      <w:r w:rsidR="00CF28BA" w:rsidRPr="00090CDE">
        <w:rPr>
          <w:rFonts w:eastAsia="Times New Roman" w:cs="Times New Roman"/>
          <w:sz w:val="28"/>
          <w:szCs w:val="28"/>
          <w:lang w:eastAsia="lv-LV"/>
        </w:rPr>
        <w:t xml:space="preserve"> </w:t>
      </w:r>
      <w:r w:rsidR="00FB05A6" w:rsidRPr="00090CDE">
        <w:rPr>
          <w:rFonts w:eastAsia="Times New Roman" w:cs="Times New Roman"/>
          <w:sz w:val="28"/>
          <w:szCs w:val="28"/>
          <w:lang w:eastAsia="lv-LV"/>
        </w:rPr>
        <w:t>Tādējādi būtiski, lai bāri</w:t>
      </w:r>
      <w:r w:rsidR="00873048" w:rsidRPr="00090CDE">
        <w:rPr>
          <w:rFonts w:eastAsia="Times New Roman" w:cs="Times New Roman"/>
          <w:sz w:val="28"/>
          <w:szCs w:val="28"/>
          <w:lang w:eastAsia="lv-LV"/>
        </w:rPr>
        <w:t xml:space="preserve">ņtiesa </w:t>
      </w:r>
      <w:r w:rsidR="00FB05A6" w:rsidRPr="00090CDE">
        <w:rPr>
          <w:rFonts w:eastAsia="Times New Roman" w:cs="Times New Roman"/>
          <w:sz w:val="28"/>
          <w:szCs w:val="28"/>
          <w:lang w:eastAsia="lv-LV"/>
        </w:rPr>
        <w:t xml:space="preserve">rastu </w:t>
      </w:r>
      <w:r w:rsidR="00873048" w:rsidRPr="00090CDE">
        <w:rPr>
          <w:rFonts w:eastAsia="Times New Roman" w:cs="Times New Roman"/>
          <w:sz w:val="28"/>
          <w:szCs w:val="28"/>
          <w:lang w:eastAsia="lv-LV"/>
        </w:rPr>
        <w:t xml:space="preserve">konkrētā bērna vajadzībām atbilstošāko risinājumu, nodrošinot ārpusģimenes aprūpi </w:t>
      </w:r>
      <w:r w:rsidR="00B65C64" w:rsidRPr="00090CDE">
        <w:rPr>
          <w:rFonts w:eastAsia="Times New Roman" w:cs="Times New Roman"/>
          <w:sz w:val="28"/>
          <w:szCs w:val="28"/>
          <w:lang w:eastAsia="lv-LV"/>
        </w:rPr>
        <w:t xml:space="preserve">aizbildņa </w:t>
      </w:r>
      <w:r w:rsidR="00873048" w:rsidRPr="00090CDE">
        <w:rPr>
          <w:rFonts w:eastAsia="Times New Roman" w:cs="Times New Roman"/>
          <w:sz w:val="28"/>
          <w:szCs w:val="28"/>
          <w:lang w:eastAsia="lv-LV"/>
        </w:rPr>
        <w:t>ģimenē</w:t>
      </w:r>
      <w:r w:rsidR="00B65C64" w:rsidRPr="00090CDE">
        <w:rPr>
          <w:rFonts w:eastAsia="Times New Roman" w:cs="Times New Roman"/>
          <w:sz w:val="28"/>
          <w:szCs w:val="28"/>
          <w:lang w:eastAsia="lv-LV"/>
        </w:rPr>
        <w:t>, audžuģimenē</w:t>
      </w:r>
      <w:r w:rsidR="00873048" w:rsidRPr="00090CDE">
        <w:rPr>
          <w:rFonts w:eastAsia="Times New Roman" w:cs="Times New Roman"/>
          <w:sz w:val="28"/>
          <w:szCs w:val="28"/>
          <w:lang w:eastAsia="lv-LV"/>
        </w:rPr>
        <w:t xml:space="preserve"> vai institūcijā. Tostarp, lemjot par ārpusģimenes aprūpi bērnam, bāriņtiesai savu pilnvaru ietvaros nepieciešams izskaidrot bērnam iespējamos ārpusģimenes aprūpes veidus un noskaidrot bērna viedokli par viņam piemērotāko ārpusģimenes aprūpes veidu, ja bērns spēj formulēt savu viedokli. </w:t>
      </w:r>
    </w:p>
    <w:p w:rsidR="00BB5483" w:rsidRPr="00090CDE" w:rsidRDefault="00CF28BA" w:rsidP="00CA1962">
      <w:pPr>
        <w:spacing w:after="0" w:line="293" w:lineRule="atLeast"/>
        <w:ind w:firstLine="600"/>
        <w:rPr>
          <w:rFonts w:cs="Times New Roman"/>
          <w:sz w:val="28"/>
          <w:szCs w:val="28"/>
        </w:rPr>
      </w:pPr>
      <w:r w:rsidRPr="00090CDE">
        <w:rPr>
          <w:sz w:val="28"/>
          <w:szCs w:val="28"/>
        </w:rPr>
        <w:t>Atbilstoši minētā likuma 6.panta ceturtajā daļā paredzētajam, ārpusģimenes aprūpes laikā tiek veikti nepieciešamie pasākumi bērna un vecāku atkalapvienošanās nodrošināšanai.</w:t>
      </w:r>
      <w:r w:rsidRPr="00090CDE">
        <w:rPr>
          <w:rFonts w:cs="Times New Roman"/>
          <w:sz w:val="28"/>
          <w:szCs w:val="28"/>
        </w:rPr>
        <w:t xml:space="preserve"> Savukārt šī likuma 42.pantā pirmajā daļā noteikts, ka ārpusģimenes aprūpi izbeidz, kad bērna vecāku ģimenē tiek nodrošināti labvēlīgi apstākļi bērna attīstībai vai arī viņš ir sasniedzis 18 gadu vecumu.</w:t>
      </w:r>
    </w:p>
    <w:p w:rsidR="00B65C64" w:rsidRPr="00090CDE" w:rsidRDefault="00B65C64" w:rsidP="00B65C64">
      <w:pPr>
        <w:spacing w:after="0"/>
        <w:ind w:firstLine="720"/>
        <w:rPr>
          <w:rFonts w:eastAsia="Times New Roman" w:cs="Times New Roman"/>
          <w:sz w:val="28"/>
          <w:szCs w:val="28"/>
          <w:lang w:eastAsia="lv-LV"/>
        </w:rPr>
      </w:pPr>
      <w:r w:rsidRPr="00090CDE">
        <w:rPr>
          <w:rFonts w:eastAsia="Times New Roman" w:cs="Times New Roman"/>
          <w:sz w:val="28"/>
          <w:szCs w:val="28"/>
          <w:lang w:eastAsia="lv-LV"/>
        </w:rPr>
        <w:t>Vadoties no iepriekšējo gadu analīzes, bāriņtiesu sniegtie dati ilgtermiņā ārpusģimenes aprūpes jomā norāda uz kopējo valstī ārpusģimenes aprūpē esošo bērnu skaita pakāpenisku samazinājumu kopš 2010.gada. Apkopojot bāriņtiesu pār</w:t>
      </w:r>
      <w:r w:rsidR="00C83EDB" w:rsidRPr="00090CDE">
        <w:rPr>
          <w:rFonts w:eastAsia="Times New Roman" w:cs="Times New Roman"/>
          <w:sz w:val="28"/>
          <w:szCs w:val="28"/>
          <w:lang w:eastAsia="lv-LV"/>
        </w:rPr>
        <w:t>skatos par bāriņtiesu darbu 2015</w:t>
      </w:r>
      <w:r w:rsidRPr="00090CDE">
        <w:rPr>
          <w:rFonts w:eastAsia="Times New Roman" w:cs="Times New Roman"/>
          <w:sz w:val="28"/>
          <w:szCs w:val="28"/>
          <w:lang w:eastAsia="lv-LV"/>
        </w:rPr>
        <w:t xml:space="preserve">.gadā fiksēto informāciju, secināms, ka minētajā jomā statistiskajos rādītājos nav konstatētas kopējo tendenču izmaiņas, proti, kopējais valstī ārpusģimenes aprūpē esošo bērnu skaits </w:t>
      </w:r>
      <w:r w:rsidR="00C83EDB" w:rsidRPr="00090CDE">
        <w:rPr>
          <w:rFonts w:eastAsia="Times New Roman" w:cs="Times New Roman"/>
          <w:sz w:val="28"/>
          <w:szCs w:val="28"/>
          <w:lang w:eastAsia="lv-LV"/>
        </w:rPr>
        <w:t xml:space="preserve">joprojām </w:t>
      </w:r>
      <w:r w:rsidRPr="00090CDE">
        <w:rPr>
          <w:rFonts w:eastAsia="Times New Roman" w:cs="Times New Roman"/>
          <w:sz w:val="28"/>
          <w:szCs w:val="28"/>
          <w:lang w:eastAsia="lv-LV"/>
        </w:rPr>
        <w:t>turpina samazināties. Tomēr 2014.</w:t>
      </w:r>
      <w:r w:rsidR="00C83EDB" w:rsidRPr="00090CDE">
        <w:rPr>
          <w:rFonts w:eastAsia="Times New Roman" w:cs="Times New Roman"/>
          <w:sz w:val="28"/>
          <w:szCs w:val="28"/>
          <w:lang w:eastAsia="lv-LV"/>
        </w:rPr>
        <w:t>un 2015.</w:t>
      </w:r>
      <w:r w:rsidRPr="00090CDE">
        <w:rPr>
          <w:rFonts w:eastAsia="Times New Roman" w:cs="Times New Roman"/>
          <w:sz w:val="28"/>
          <w:szCs w:val="28"/>
          <w:lang w:eastAsia="lv-LV"/>
        </w:rPr>
        <w:t xml:space="preserve">gadā, salīdzinot ar iepriekšējiem gadiem šo bērnu skaitlisko rādītāju samazinājums ir būtiskāks. Kā redzams no 10.diagrammā apkopotās informācijas, 2012.gada 31.decembrī aizbildņa, audžuģimenes vai institucionālajā aprūpē atradās 8095 bērni, savukārt 2013.gada 31.decembrī- 7967 bērni. Tātad 2013.gadā, salīdzinoši ar 2012.gadu kopumā skaitliski par 128 bērniem mazāk atradās ārpusģimenes aprūpē. Apkopojot datus, noskaidrots, ka 2014.gada 31.decembrī ārpusģimenes aprūpē atradās 7606 bērni, t.i. par 361 bērnu mazāk nekā iepriekšējā pārskata gadā un par 489 bērniem mazāk nekā 2012.gadā. </w:t>
      </w:r>
      <w:r w:rsidR="004F64C5" w:rsidRPr="00090CDE">
        <w:rPr>
          <w:rFonts w:eastAsia="Times New Roman" w:cs="Times New Roman"/>
          <w:sz w:val="28"/>
          <w:szCs w:val="28"/>
          <w:lang w:eastAsia="lv-LV"/>
        </w:rPr>
        <w:t xml:space="preserve">Savukārt 2015.gada 31.decembrī ārpusģimenes aprūpē kopumā valstī atradās 7281 bērns, kas ir </w:t>
      </w:r>
      <w:r w:rsidR="00CF5514" w:rsidRPr="00090CDE">
        <w:rPr>
          <w:rFonts w:eastAsia="Times New Roman" w:cs="Times New Roman"/>
          <w:sz w:val="28"/>
          <w:szCs w:val="28"/>
          <w:lang w:eastAsia="lv-LV"/>
        </w:rPr>
        <w:t xml:space="preserve">par 325 bērniem mazāk nekā iepriekšējā gadā. </w:t>
      </w:r>
      <w:r w:rsidR="004F64C5" w:rsidRPr="00090CDE">
        <w:rPr>
          <w:rFonts w:eastAsia="Times New Roman" w:cs="Times New Roman"/>
          <w:sz w:val="28"/>
          <w:szCs w:val="28"/>
          <w:lang w:eastAsia="lv-LV"/>
        </w:rPr>
        <w:t>S</w:t>
      </w:r>
      <w:r w:rsidRPr="00090CDE">
        <w:rPr>
          <w:rFonts w:eastAsia="Times New Roman" w:cs="Times New Roman"/>
          <w:sz w:val="28"/>
          <w:szCs w:val="28"/>
          <w:lang w:eastAsia="lv-LV"/>
        </w:rPr>
        <w:t xml:space="preserve">ecināms, ka tie bērni, kuru ārpusģimenes aprūpe izbeigta, sasnieguši pilngadību vai arī panākta ģimenes situācijas uzlabošanās un bērni atgriezušies savu vecāku aprūpē.  </w:t>
      </w:r>
    </w:p>
    <w:p w:rsidR="00B65C64" w:rsidRPr="00090CDE" w:rsidRDefault="00B65C64" w:rsidP="00B65C64">
      <w:pPr>
        <w:spacing w:after="0"/>
        <w:ind w:firstLine="720"/>
        <w:rPr>
          <w:rFonts w:eastAsia="Times New Roman" w:cs="Times New Roman"/>
          <w:sz w:val="10"/>
          <w:szCs w:val="10"/>
          <w:lang w:eastAsia="lv-LV"/>
        </w:rPr>
      </w:pPr>
    </w:p>
    <w:p w:rsidR="006C015A" w:rsidRPr="00090CDE" w:rsidRDefault="004F4134" w:rsidP="00A70A62">
      <w:pPr>
        <w:spacing w:after="0"/>
        <w:ind w:firstLine="720"/>
        <w:jc w:val="right"/>
        <w:rPr>
          <w:rFonts w:eastAsia="Times New Roman" w:cs="Times New Roman"/>
          <w:b/>
          <w:sz w:val="26"/>
          <w:szCs w:val="26"/>
          <w:lang w:eastAsia="lv-LV"/>
        </w:rPr>
      </w:pPr>
      <w:r w:rsidRPr="00090CDE">
        <w:rPr>
          <w:rFonts w:eastAsia="Times New Roman" w:cs="Times New Roman"/>
          <w:b/>
          <w:sz w:val="26"/>
          <w:szCs w:val="26"/>
          <w:lang w:eastAsia="lv-LV"/>
        </w:rPr>
        <w:t>10.diagramma</w:t>
      </w:r>
    </w:p>
    <w:p w:rsidR="006C015A" w:rsidRPr="00090CDE" w:rsidRDefault="006C015A" w:rsidP="00CF5514">
      <w:pPr>
        <w:spacing w:after="0" w:line="293" w:lineRule="atLeast"/>
        <w:ind w:firstLine="720"/>
        <w:jc w:val="center"/>
        <w:rPr>
          <w:rFonts w:eastAsia="Times New Roman" w:cs="Times New Roman"/>
          <w:sz w:val="28"/>
          <w:szCs w:val="28"/>
          <w:lang w:eastAsia="lv-LV"/>
        </w:rPr>
      </w:pPr>
      <w:r w:rsidRPr="00090CDE">
        <w:rPr>
          <w:noProof/>
          <w:lang w:val="en-GB" w:eastAsia="en-GB"/>
        </w:rPr>
        <w:drawing>
          <wp:inline distT="0" distB="0" distL="0" distR="0" wp14:anchorId="36800266" wp14:editId="67E8DBEB">
            <wp:extent cx="5000625" cy="2548647"/>
            <wp:effectExtent l="0" t="0" r="9525" b="444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C015A" w:rsidRPr="00090CDE" w:rsidRDefault="006C015A" w:rsidP="00DD5665">
      <w:pPr>
        <w:spacing w:after="0" w:line="293" w:lineRule="atLeast"/>
        <w:ind w:firstLine="720"/>
        <w:rPr>
          <w:rFonts w:eastAsia="Times New Roman" w:cs="Times New Roman"/>
          <w:sz w:val="28"/>
          <w:szCs w:val="28"/>
          <w:lang w:eastAsia="lv-LV"/>
        </w:rPr>
      </w:pPr>
    </w:p>
    <w:p w:rsidR="00EE7D68" w:rsidRPr="00090CDE" w:rsidRDefault="00A2044B" w:rsidP="00DD5665">
      <w:pPr>
        <w:spacing w:after="0" w:line="293" w:lineRule="atLeast"/>
        <w:ind w:firstLine="720"/>
        <w:rPr>
          <w:rFonts w:eastAsia="Times New Roman" w:cs="Times New Roman"/>
          <w:sz w:val="28"/>
          <w:szCs w:val="28"/>
          <w:lang w:eastAsia="lv-LV"/>
        </w:rPr>
      </w:pPr>
      <w:r w:rsidRPr="00090CDE">
        <w:rPr>
          <w:rFonts w:eastAsia="Times New Roman" w:cs="Times New Roman"/>
          <w:sz w:val="28"/>
          <w:szCs w:val="28"/>
          <w:lang w:eastAsia="lv-LV"/>
        </w:rPr>
        <w:t xml:space="preserve">Bāriņtiesu darbību regulējošie normatīvie akti </w:t>
      </w:r>
      <w:r w:rsidR="004E4558" w:rsidRPr="00090CDE">
        <w:rPr>
          <w:rFonts w:eastAsia="Times New Roman" w:cs="Times New Roman"/>
          <w:sz w:val="28"/>
          <w:szCs w:val="28"/>
          <w:lang w:eastAsia="lv-LV"/>
        </w:rPr>
        <w:t>paredz bāriņtiesas kompetenci p</w:t>
      </w:r>
      <w:r w:rsidR="001D4581" w:rsidRPr="00090CDE">
        <w:rPr>
          <w:rFonts w:eastAsia="Times New Roman" w:cs="Times New Roman"/>
          <w:sz w:val="28"/>
          <w:szCs w:val="28"/>
          <w:lang w:eastAsia="lv-LV"/>
        </w:rPr>
        <w:t xml:space="preserve">rimāri </w:t>
      </w:r>
      <w:r w:rsidR="004E4558" w:rsidRPr="00090CDE">
        <w:rPr>
          <w:rFonts w:eastAsia="Times New Roman" w:cs="Times New Roman"/>
          <w:sz w:val="28"/>
          <w:szCs w:val="28"/>
          <w:lang w:eastAsia="lv-LV"/>
        </w:rPr>
        <w:t>nodrošināt</w:t>
      </w:r>
      <w:r w:rsidR="001D4581" w:rsidRPr="00090CDE">
        <w:rPr>
          <w:rFonts w:eastAsia="Times New Roman" w:cs="Times New Roman"/>
          <w:sz w:val="28"/>
          <w:szCs w:val="28"/>
          <w:lang w:eastAsia="lv-LV"/>
        </w:rPr>
        <w:t xml:space="preserve"> </w:t>
      </w:r>
      <w:r w:rsidR="004E4558" w:rsidRPr="00090CDE">
        <w:rPr>
          <w:rFonts w:eastAsia="Times New Roman" w:cs="Times New Roman"/>
          <w:sz w:val="28"/>
          <w:szCs w:val="28"/>
          <w:lang w:eastAsia="lv-LV"/>
        </w:rPr>
        <w:t xml:space="preserve">bērnam </w:t>
      </w:r>
      <w:r w:rsidR="001D4581" w:rsidRPr="00090CDE">
        <w:rPr>
          <w:rFonts w:eastAsia="Times New Roman" w:cs="Times New Roman"/>
          <w:sz w:val="28"/>
          <w:szCs w:val="28"/>
          <w:lang w:eastAsia="lv-LV"/>
        </w:rPr>
        <w:t>ie</w:t>
      </w:r>
      <w:r w:rsidR="004E4558" w:rsidRPr="00090CDE">
        <w:rPr>
          <w:rFonts w:eastAsia="Times New Roman" w:cs="Times New Roman"/>
          <w:sz w:val="28"/>
          <w:szCs w:val="28"/>
          <w:lang w:eastAsia="lv-LV"/>
        </w:rPr>
        <w:t>spēju</w:t>
      </w:r>
      <w:r w:rsidR="001D4581" w:rsidRPr="00090CDE">
        <w:rPr>
          <w:rFonts w:eastAsia="Times New Roman" w:cs="Times New Roman"/>
          <w:sz w:val="28"/>
          <w:szCs w:val="28"/>
          <w:lang w:eastAsia="lv-LV"/>
        </w:rPr>
        <w:t xml:space="preserve"> augt pie aizbildņa vai audžuģimenē.</w:t>
      </w:r>
      <w:r w:rsidR="00DD5665" w:rsidRPr="00090CDE">
        <w:rPr>
          <w:rFonts w:eastAsia="Times New Roman" w:cs="Times New Roman"/>
          <w:sz w:val="28"/>
          <w:szCs w:val="28"/>
          <w:lang w:eastAsia="lv-LV"/>
        </w:rPr>
        <w:t xml:space="preserve"> </w:t>
      </w:r>
      <w:r w:rsidR="00EE7D68" w:rsidRPr="00090CDE">
        <w:rPr>
          <w:rFonts w:eastAsia="Times New Roman" w:cs="Times New Roman"/>
          <w:sz w:val="28"/>
          <w:szCs w:val="28"/>
          <w:lang w:eastAsia="lv-LV"/>
        </w:rPr>
        <w:t>Atbilstoši Bāriņtiesu likuma</w:t>
      </w:r>
      <w:r w:rsidR="00A64FE8" w:rsidRPr="00090CDE">
        <w:rPr>
          <w:rFonts w:eastAsia="Times New Roman" w:cs="Times New Roman"/>
          <w:sz w:val="28"/>
          <w:szCs w:val="28"/>
          <w:lang w:eastAsia="lv-LV"/>
        </w:rPr>
        <w:t xml:space="preserve"> </w:t>
      </w:r>
      <w:r w:rsidR="00EE7D68" w:rsidRPr="00090CDE">
        <w:rPr>
          <w:rFonts w:eastAsia="Times New Roman" w:cs="Times New Roman"/>
          <w:sz w:val="28"/>
          <w:szCs w:val="28"/>
          <w:lang w:eastAsia="lv-LV"/>
        </w:rPr>
        <w:t xml:space="preserve">35.panta pirmajā daļā noteiktajam bāriņtiesa lemj par bāreņa vai bez vecāku gādības palikuša bērna ievietošanu [..] institūcijā, ja ārpusģimenes aprūpi bērnam nav iespējams </w:t>
      </w:r>
      <w:r w:rsidR="00715082" w:rsidRPr="00090CDE">
        <w:rPr>
          <w:rFonts w:eastAsia="Times New Roman" w:cs="Times New Roman"/>
          <w:sz w:val="28"/>
          <w:szCs w:val="28"/>
          <w:lang w:eastAsia="lv-LV"/>
        </w:rPr>
        <w:t>nodrošināt audžuģimenē vai pie aizbildņa. Līdzīgi Sociālo pakalpojumu un sociālās palīdzības likuma 4.panta ceturtajā daļā noteikts, ka [..] bērniem nod</w:t>
      </w:r>
      <w:r w:rsidR="00676836" w:rsidRPr="00090CDE">
        <w:rPr>
          <w:rFonts w:eastAsia="Times New Roman" w:cs="Times New Roman"/>
          <w:sz w:val="28"/>
          <w:szCs w:val="28"/>
          <w:lang w:eastAsia="lv-LV"/>
        </w:rPr>
        <w:t xml:space="preserve">rošināma aprūpe ģimeniskā vidē </w:t>
      </w:r>
      <w:r w:rsidR="00715082" w:rsidRPr="00090CDE">
        <w:rPr>
          <w:szCs w:val="28"/>
        </w:rPr>
        <w:t xml:space="preserve">– </w:t>
      </w:r>
      <w:r w:rsidR="00715082" w:rsidRPr="00090CDE">
        <w:rPr>
          <w:rFonts w:eastAsia="Times New Roman" w:cs="Times New Roman"/>
          <w:sz w:val="28"/>
          <w:szCs w:val="28"/>
          <w:lang w:eastAsia="lv-LV"/>
        </w:rPr>
        <w:t xml:space="preserve">audžuģimenē vai pie aizbildņa, un tikai tad, ja tas nav iespējams, aprūpe tiek nodrošināta [..] institūcijā. </w:t>
      </w:r>
    </w:p>
    <w:p w:rsidR="003D5B1B" w:rsidRPr="00090CDE" w:rsidRDefault="00834B3A" w:rsidP="003D5B1B">
      <w:pPr>
        <w:spacing w:after="0" w:line="293" w:lineRule="atLeast"/>
        <w:ind w:firstLine="720"/>
        <w:rPr>
          <w:rFonts w:eastAsia="Times New Roman" w:cs="Times New Roman"/>
          <w:sz w:val="28"/>
          <w:szCs w:val="28"/>
          <w:lang w:eastAsia="lv-LV"/>
        </w:rPr>
      </w:pPr>
      <w:r w:rsidRPr="00090CDE">
        <w:rPr>
          <w:rFonts w:eastAsia="Times New Roman" w:cs="Times New Roman"/>
          <w:sz w:val="28"/>
          <w:szCs w:val="28"/>
          <w:lang w:eastAsia="lv-LV"/>
        </w:rPr>
        <w:t>B</w:t>
      </w:r>
      <w:r w:rsidR="004E4558" w:rsidRPr="00090CDE">
        <w:rPr>
          <w:rFonts w:eastAsia="Times New Roman" w:cs="Times New Roman"/>
          <w:sz w:val="28"/>
          <w:szCs w:val="28"/>
          <w:lang w:eastAsia="lv-LV"/>
        </w:rPr>
        <w:t>ērnu tiesību aizsardzības likuma normas</w:t>
      </w:r>
      <w:r w:rsidRPr="00090CDE">
        <w:rPr>
          <w:rFonts w:eastAsia="Times New Roman" w:cs="Times New Roman"/>
          <w:sz w:val="28"/>
          <w:szCs w:val="28"/>
          <w:lang w:eastAsia="lv-LV"/>
        </w:rPr>
        <w:t xml:space="preserve"> konkretizē, kādos gadījumos pieļaujama bērnu ievietošana institūcijā, </w:t>
      </w:r>
      <w:r w:rsidR="003A2946" w:rsidRPr="00090CDE">
        <w:rPr>
          <w:rFonts w:eastAsia="Times New Roman" w:cs="Times New Roman"/>
          <w:sz w:val="28"/>
          <w:szCs w:val="28"/>
          <w:lang w:eastAsia="lv-LV"/>
        </w:rPr>
        <w:t xml:space="preserve">proti, minētā likuma 27.pants </w:t>
      </w:r>
      <w:r w:rsidRPr="00090CDE">
        <w:rPr>
          <w:rFonts w:eastAsia="Times New Roman" w:cs="Times New Roman"/>
          <w:sz w:val="28"/>
          <w:szCs w:val="28"/>
          <w:lang w:eastAsia="lv-LV"/>
        </w:rPr>
        <w:t>paredz, ka ā</w:t>
      </w:r>
      <w:r w:rsidR="001D4581" w:rsidRPr="00090CDE">
        <w:rPr>
          <w:rFonts w:eastAsia="Times New Roman" w:cs="Times New Roman"/>
          <w:sz w:val="28"/>
          <w:szCs w:val="28"/>
          <w:lang w:eastAsia="lv-LV"/>
        </w:rPr>
        <w:t>rpusģimenes aprūpi bērnu aprūpes iestādē nodrošina, ja aprūpe pie aizbildņa vai audžuģimenē nav piemērota konkrētam bērnam. Bērnu aprūpes iestādē bērns atrodas līdz brīdim, kad viņam tiek nodrošināta piemērota aprūpe pie aizbildņa vai audžuģimenē.</w:t>
      </w:r>
      <w:r w:rsidR="00C00A81" w:rsidRPr="00090CDE">
        <w:rPr>
          <w:rFonts w:eastAsia="Times New Roman" w:cs="Times New Roman"/>
          <w:sz w:val="28"/>
          <w:szCs w:val="28"/>
          <w:lang w:eastAsia="lv-LV"/>
        </w:rPr>
        <w:t xml:space="preserve"> </w:t>
      </w:r>
      <w:r w:rsidR="009C5CC2" w:rsidRPr="00090CDE">
        <w:rPr>
          <w:rFonts w:eastAsia="Times New Roman" w:cs="Times New Roman"/>
          <w:sz w:val="28"/>
          <w:szCs w:val="28"/>
          <w:lang w:eastAsia="lv-LV"/>
        </w:rPr>
        <w:t xml:space="preserve">No minētā izriet, ka </w:t>
      </w:r>
      <w:r w:rsidR="00A64FE8" w:rsidRPr="00090CDE">
        <w:rPr>
          <w:rFonts w:eastAsia="Times New Roman" w:cs="Times New Roman"/>
          <w:sz w:val="28"/>
          <w:szCs w:val="28"/>
          <w:lang w:eastAsia="lv-LV"/>
        </w:rPr>
        <w:t>aprūpe institūcijā pieļaujama tad, ja tas atbilst konkrētā bērna vislabākajām interesēm un indi</w:t>
      </w:r>
      <w:r w:rsidR="00976CE5" w:rsidRPr="00090CDE">
        <w:rPr>
          <w:rFonts w:eastAsia="Times New Roman" w:cs="Times New Roman"/>
          <w:sz w:val="28"/>
          <w:szCs w:val="28"/>
          <w:lang w:eastAsia="lv-LV"/>
        </w:rPr>
        <w:t xml:space="preserve">viduālajām vajadzībām. </w:t>
      </w:r>
      <w:r w:rsidR="009C5CC2" w:rsidRPr="00090CDE">
        <w:rPr>
          <w:rFonts w:eastAsia="Times New Roman" w:cs="Times New Roman"/>
          <w:sz w:val="28"/>
          <w:szCs w:val="28"/>
          <w:lang w:eastAsia="lv-LV"/>
        </w:rPr>
        <w:t xml:space="preserve">Visos citos gadījumos bāriņtiesai periodiski jāmeklē iespējas bērna ievietošanai aizbildņa ģimenē vai audžuģimenē. </w:t>
      </w:r>
    </w:p>
    <w:p w:rsidR="006D2317" w:rsidRPr="00090CDE" w:rsidRDefault="009D2321" w:rsidP="00541733">
      <w:pPr>
        <w:spacing w:after="0" w:line="293" w:lineRule="atLeast"/>
        <w:ind w:firstLine="720"/>
        <w:rPr>
          <w:sz w:val="28"/>
          <w:szCs w:val="28"/>
        </w:rPr>
      </w:pPr>
      <w:r w:rsidRPr="00090CDE">
        <w:rPr>
          <w:sz w:val="28"/>
          <w:szCs w:val="28"/>
        </w:rPr>
        <w:t>2013.gada 4.decembrī ar Ministru kabineta rīkojumu Nr.589 apstiprinātas Sociālo pakalpojumu attīstības pamatnostādnes 2014.– 2020.gadam (turpmāk – pamatnostādnes). Viens no pamatnostādņu svarīgākajiem rīcības virzieniem ir deinstitucionalizācija</w:t>
      </w:r>
      <w:r w:rsidR="00797E84" w:rsidRPr="00090CDE">
        <w:rPr>
          <w:sz w:val="28"/>
          <w:szCs w:val="28"/>
        </w:rPr>
        <w:t xml:space="preserve">. Viena no deinstucionalizācijas procesa aktivitātēm ir bāreņu un bez vecāku gādības palikušo bērnu aprūpes ģimeniskā vidē vai tai pietuvinātā </w:t>
      </w:r>
      <w:r w:rsidR="00541733" w:rsidRPr="00090CDE">
        <w:rPr>
          <w:sz w:val="28"/>
          <w:szCs w:val="28"/>
        </w:rPr>
        <w:t>pakalpojumā veicināšana</w:t>
      </w:r>
      <w:r w:rsidR="00797E84" w:rsidRPr="00090CDE">
        <w:rPr>
          <w:rFonts w:eastAsia="HelveticaL-Book"/>
          <w:sz w:val="28"/>
          <w:szCs w:val="28"/>
        </w:rPr>
        <w:t>.</w:t>
      </w:r>
      <w:r w:rsidR="00541733" w:rsidRPr="00090CDE">
        <w:rPr>
          <w:sz w:val="28"/>
          <w:szCs w:val="28"/>
        </w:rPr>
        <w:t xml:space="preserve"> D</w:t>
      </w:r>
      <w:r w:rsidR="00797E84" w:rsidRPr="00090CDE">
        <w:rPr>
          <w:sz w:val="28"/>
          <w:szCs w:val="28"/>
        </w:rPr>
        <w:t>einstituci</w:t>
      </w:r>
      <w:r w:rsidR="00541733" w:rsidRPr="00090CDE">
        <w:rPr>
          <w:sz w:val="28"/>
          <w:szCs w:val="28"/>
        </w:rPr>
        <w:t>onalizācijas plānā izvirzītie mērķi-</w:t>
      </w:r>
      <w:r w:rsidR="00797E84" w:rsidRPr="00090CDE">
        <w:rPr>
          <w:sz w:val="28"/>
          <w:szCs w:val="28"/>
        </w:rPr>
        <w:t xml:space="preserve"> institucionālās aprūpes pakalpojuma vajadzība</w:t>
      </w:r>
      <w:r w:rsidR="00541733" w:rsidRPr="00090CDE">
        <w:rPr>
          <w:sz w:val="28"/>
          <w:szCs w:val="28"/>
        </w:rPr>
        <w:t>s izvērtēšana</w:t>
      </w:r>
      <w:r w:rsidR="00797E84" w:rsidRPr="00090CDE">
        <w:rPr>
          <w:sz w:val="28"/>
          <w:szCs w:val="28"/>
        </w:rPr>
        <w:t xml:space="preserve"> individuāli katram konkrētam bērnam atbilstoši bērna individuālajām vajadzībām, tādējādi ierobežojot bērnu iev</w:t>
      </w:r>
      <w:r w:rsidR="00541733" w:rsidRPr="00090CDE">
        <w:rPr>
          <w:sz w:val="28"/>
          <w:szCs w:val="28"/>
        </w:rPr>
        <w:t xml:space="preserve">ietošanu </w:t>
      </w:r>
      <w:r w:rsidR="00797E84" w:rsidRPr="00090CDE">
        <w:rPr>
          <w:sz w:val="28"/>
          <w:szCs w:val="28"/>
        </w:rPr>
        <w:t xml:space="preserve">institūcijās, ja ir iespējams nodrošināt institucionālajai aprūpei alternatīvus (ģimeniskai videi pietuvinātus) ārpusģimenes aprūpes </w:t>
      </w:r>
      <w:r w:rsidR="003D5B1B" w:rsidRPr="00090CDE">
        <w:rPr>
          <w:sz w:val="28"/>
          <w:szCs w:val="28"/>
        </w:rPr>
        <w:t>pakalpojumus.</w:t>
      </w:r>
      <w:r w:rsidR="00541733" w:rsidRPr="00090CDE">
        <w:rPr>
          <w:rFonts w:eastAsia="Times New Roman" w:cs="Times New Roman"/>
          <w:sz w:val="28"/>
          <w:szCs w:val="28"/>
          <w:lang w:eastAsia="lv-LV"/>
        </w:rPr>
        <w:t xml:space="preserve"> </w:t>
      </w:r>
      <w:r w:rsidR="00541733" w:rsidRPr="00090CDE">
        <w:rPr>
          <w:sz w:val="28"/>
          <w:szCs w:val="28"/>
        </w:rPr>
        <w:t xml:space="preserve">Lai nodrošinātu </w:t>
      </w:r>
      <w:r w:rsidR="00797E84" w:rsidRPr="00090CDE">
        <w:rPr>
          <w:sz w:val="28"/>
          <w:szCs w:val="28"/>
        </w:rPr>
        <w:t xml:space="preserve">deinstitucionalizācijas principa – </w:t>
      </w:r>
      <w:r w:rsidR="00797E84" w:rsidRPr="00090CDE">
        <w:rPr>
          <w:i/>
          <w:sz w:val="28"/>
          <w:szCs w:val="28"/>
        </w:rPr>
        <w:t>ģimeniskas vides</w:t>
      </w:r>
      <w:r w:rsidR="00797E84" w:rsidRPr="00090CDE">
        <w:rPr>
          <w:sz w:val="28"/>
          <w:szCs w:val="28"/>
        </w:rPr>
        <w:t xml:space="preserve"> </w:t>
      </w:r>
      <w:r w:rsidR="00797E84" w:rsidRPr="00090CDE">
        <w:rPr>
          <w:i/>
          <w:sz w:val="28"/>
          <w:szCs w:val="28"/>
        </w:rPr>
        <w:t>nodrošināšana bērnam</w:t>
      </w:r>
      <w:r w:rsidR="00797E84" w:rsidRPr="00090CDE">
        <w:rPr>
          <w:sz w:val="28"/>
          <w:szCs w:val="28"/>
        </w:rPr>
        <w:t xml:space="preserve"> - īstenošanu praksē, bāriņtiesai nepieciešams periodiski pārliecināties, vai institūcijā ievietotam bērnam joprojām nav iespējams nodrošināt aprūpi ģimeniskā vidē un bērnam jāturpina u</w:t>
      </w:r>
      <w:r w:rsidR="00541733" w:rsidRPr="00090CDE">
        <w:rPr>
          <w:sz w:val="28"/>
          <w:szCs w:val="28"/>
        </w:rPr>
        <w:t>zturēties</w:t>
      </w:r>
      <w:r w:rsidR="00797E84" w:rsidRPr="00090CDE">
        <w:rPr>
          <w:sz w:val="28"/>
          <w:szCs w:val="28"/>
        </w:rPr>
        <w:t xml:space="preserve"> institūcijā.</w:t>
      </w:r>
      <w:r w:rsidR="00D62331" w:rsidRPr="00090CDE">
        <w:rPr>
          <w:rStyle w:val="FootnoteReference"/>
          <w:sz w:val="28"/>
          <w:szCs w:val="28"/>
        </w:rPr>
        <w:footnoteReference w:id="2"/>
      </w:r>
      <w:r w:rsidR="00797E84" w:rsidRPr="00090CDE">
        <w:rPr>
          <w:sz w:val="28"/>
          <w:szCs w:val="28"/>
        </w:rPr>
        <w:t xml:space="preserve"> </w:t>
      </w:r>
    </w:p>
    <w:p w:rsidR="004314DF" w:rsidRPr="00090CDE" w:rsidRDefault="004314DF" w:rsidP="004314DF">
      <w:pPr>
        <w:spacing w:after="0" w:line="293" w:lineRule="atLeast"/>
        <w:ind w:firstLine="720"/>
        <w:rPr>
          <w:sz w:val="28"/>
          <w:szCs w:val="28"/>
        </w:rPr>
      </w:pPr>
      <w:r w:rsidRPr="00090CDE">
        <w:rPr>
          <w:sz w:val="28"/>
          <w:szCs w:val="28"/>
        </w:rPr>
        <w:t xml:space="preserve">Inspekcija kā katru gadu apkopojusi arī datus par ārpusģimenes aprūpē esošo bērnu skaita nodrošinājumu pēc ārpusģimenes aprūpes veida. No 11.diagrammā redzamā datu apkopojuma, redzams, ka valstī jau vairākus gadus izplatītākais ārpusģimenes aprūpes veids nemainīgi ir aizbildnība, kaut arī kopējam bērnu skaitam aizbildņa ģimenēs ir tendence samazināties. Proti, 2012.gada 31.decembrī bāriņtiesām kopumā ir ziņas par 5051 aizbildnībā esošu bērnu, savukārt 2013.gadā ir ziņas par 4945 šādiem bērniem. Konstatēts, </w:t>
      </w:r>
      <w:r w:rsidR="008A150B">
        <w:rPr>
          <w:sz w:val="28"/>
          <w:szCs w:val="28"/>
        </w:rPr>
        <w:t xml:space="preserve">ka </w:t>
      </w:r>
      <w:r w:rsidRPr="00090CDE">
        <w:rPr>
          <w:sz w:val="28"/>
          <w:szCs w:val="28"/>
        </w:rPr>
        <w:t xml:space="preserve">2014.gadā aizbildņa aprūpē atradies 4831 bērns, kas skaitliski sastāda  64%  no kopējā ārpusģimenes aprūpē esošo bērnu skaita. Savukārt, vadoties pēc bāriņtiesu sniegtajiem datiem, 2015.gada 31.decembrī </w:t>
      </w:r>
      <w:r w:rsidRPr="00090CDE">
        <w:rPr>
          <w:sz w:val="28"/>
          <w:szCs w:val="28"/>
        </w:rPr>
        <w:lastRenderedPageBreak/>
        <w:t xml:space="preserve">aizbildņu ģimenēs kopumā atradās 4620 aizbilstamie, t.i. par 211 bērniem mazāk un  skaitliski sastāda 63,4% no kopējā ārpusģimenes aprūpē esošo bērnu skaita. </w:t>
      </w:r>
    </w:p>
    <w:p w:rsidR="004314DF" w:rsidRPr="00090CDE" w:rsidRDefault="004314DF" w:rsidP="00541733">
      <w:pPr>
        <w:spacing w:after="0" w:line="293" w:lineRule="atLeast"/>
        <w:ind w:firstLine="720"/>
        <w:rPr>
          <w:sz w:val="28"/>
          <w:szCs w:val="28"/>
        </w:rPr>
      </w:pPr>
    </w:p>
    <w:p w:rsidR="004314DF" w:rsidRPr="00090CDE" w:rsidRDefault="004314DF" w:rsidP="004314DF">
      <w:pPr>
        <w:jc w:val="right"/>
        <w:rPr>
          <w:b/>
          <w:sz w:val="26"/>
          <w:szCs w:val="26"/>
        </w:rPr>
      </w:pPr>
      <w:r w:rsidRPr="00090CDE">
        <w:rPr>
          <w:b/>
          <w:sz w:val="26"/>
          <w:szCs w:val="26"/>
        </w:rPr>
        <w:t>11.diagramma</w:t>
      </w:r>
    </w:p>
    <w:p w:rsidR="006C015A" w:rsidRPr="00090CDE" w:rsidRDefault="006C015A" w:rsidP="00CF5514">
      <w:pPr>
        <w:spacing w:after="0" w:line="240" w:lineRule="auto"/>
        <w:ind w:firstLine="720"/>
        <w:jc w:val="center"/>
        <w:rPr>
          <w:sz w:val="28"/>
          <w:szCs w:val="28"/>
        </w:rPr>
      </w:pPr>
      <w:r w:rsidRPr="00090CDE">
        <w:rPr>
          <w:noProof/>
          <w:lang w:val="en-GB" w:eastAsia="en-GB"/>
        </w:rPr>
        <w:drawing>
          <wp:inline distT="0" distB="0" distL="0" distR="0" wp14:anchorId="6B49B08B" wp14:editId="0506AD1A">
            <wp:extent cx="4538663" cy="3109913"/>
            <wp:effectExtent l="0" t="0" r="14605" b="1460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CF5514" w:rsidRPr="00090CDE">
        <w:rPr>
          <w:sz w:val="28"/>
          <w:szCs w:val="28"/>
        </w:rPr>
        <w:t xml:space="preserve"> </w:t>
      </w:r>
    </w:p>
    <w:p w:rsidR="006C015A" w:rsidRPr="00090CDE" w:rsidRDefault="006C015A" w:rsidP="006F45C5">
      <w:pPr>
        <w:spacing w:after="0" w:line="240" w:lineRule="auto"/>
        <w:ind w:firstLine="720"/>
        <w:rPr>
          <w:sz w:val="28"/>
          <w:szCs w:val="28"/>
        </w:rPr>
      </w:pPr>
    </w:p>
    <w:p w:rsidR="003643FD" w:rsidRPr="00090CDE" w:rsidRDefault="00CF19F3" w:rsidP="00FD605E">
      <w:pPr>
        <w:spacing w:after="0" w:line="240" w:lineRule="auto"/>
        <w:ind w:firstLine="720"/>
        <w:rPr>
          <w:sz w:val="28"/>
          <w:szCs w:val="28"/>
        </w:rPr>
      </w:pPr>
      <w:r w:rsidRPr="00090CDE">
        <w:rPr>
          <w:sz w:val="28"/>
          <w:szCs w:val="28"/>
        </w:rPr>
        <w:t xml:space="preserve">Iepriekšējo gadu </w:t>
      </w:r>
      <w:r w:rsidR="003643FD" w:rsidRPr="00090CDE">
        <w:rPr>
          <w:sz w:val="28"/>
          <w:szCs w:val="28"/>
        </w:rPr>
        <w:t xml:space="preserve">statistikas datu </w:t>
      </w:r>
      <w:r w:rsidRPr="00090CDE">
        <w:rPr>
          <w:sz w:val="28"/>
          <w:szCs w:val="28"/>
        </w:rPr>
        <w:t>analīze norādīja uz tendenci palielināties audžuģimenēs ievietoto bērnu skaitam</w:t>
      </w:r>
      <w:r w:rsidR="007A190F" w:rsidRPr="00090CDE">
        <w:rPr>
          <w:sz w:val="28"/>
          <w:szCs w:val="28"/>
        </w:rPr>
        <w:t>, proti, ja 2009.gadā kopumā 758 bērni atradās audžuģimenes aprūpē, tad 2012.gadā jau 1155 b</w:t>
      </w:r>
      <w:r w:rsidR="00545465" w:rsidRPr="00090CDE">
        <w:rPr>
          <w:sz w:val="28"/>
          <w:szCs w:val="28"/>
        </w:rPr>
        <w:t>ērni, savukārt 2013.gadā- 1262 bērni.</w:t>
      </w:r>
      <w:r w:rsidR="007A190F" w:rsidRPr="00090CDE">
        <w:rPr>
          <w:sz w:val="28"/>
          <w:szCs w:val="28"/>
        </w:rPr>
        <w:t xml:space="preserve"> </w:t>
      </w:r>
      <w:r w:rsidR="001C7973" w:rsidRPr="00090CDE">
        <w:rPr>
          <w:sz w:val="28"/>
          <w:szCs w:val="28"/>
        </w:rPr>
        <w:t>Konstat</w:t>
      </w:r>
      <w:r w:rsidR="0075054C" w:rsidRPr="00090CDE">
        <w:rPr>
          <w:sz w:val="28"/>
          <w:szCs w:val="28"/>
        </w:rPr>
        <w:t>ēts, ka 2014.gadā vērojams bērnu skaita, kuri ievietoti audžuģimenē, samazinājums, proti, 2014.gada</w:t>
      </w:r>
      <w:r w:rsidR="001C7973" w:rsidRPr="00090CDE">
        <w:rPr>
          <w:sz w:val="28"/>
          <w:szCs w:val="28"/>
        </w:rPr>
        <w:t xml:space="preserve"> 31.decembrī audžuģimenēs atradās 1224 bērni</w:t>
      </w:r>
      <w:r w:rsidR="0075054C" w:rsidRPr="00090CDE">
        <w:rPr>
          <w:sz w:val="28"/>
          <w:szCs w:val="28"/>
        </w:rPr>
        <w:t>, kas ir par 38 bērniem mazāk nekā iepriekšējā gadā</w:t>
      </w:r>
      <w:r w:rsidR="003643FD" w:rsidRPr="00090CDE">
        <w:rPr>
          <w:sz w:val="28"/>
          <w:szCs w:val="28"/>
        </w:rPr>
        <w:t xml:space="preserve"> (16% no kopējā ārpusģimenes aprūpē esošo bērnu skaita). </w:t>
      </w:r>
      <w:r w:rsidR="009F7E89" w:rsidRPr="00090CDE">
        <w:rPr>
          <w:sz w:val="28"/>
          <w:szCs w:val="28"/>
        </w:rPr>
        <w:t xml:space="preserve">Apkopojot datus par 2015.gadu, konstatēts pavisam neliels audžuģimenēs esošo bērnu skaita pieaugums, proti, 2015.gada 31.decembrī </w:t>
      </w:r>
      <w:r w:rsidR="00FD605E" w:rsidRPr="00090CDE">
        <w:rPr>
          <w:sz w:val="28"/>
          <w:szCs w:val="28"/>
        </w:rPr>
        <w:t xml:space="preserve">audžuģimeņu aprūpē kopumā valstī atradās 1232 bērni, kas ir tikai par 8 bērniem vairāk nekā iepriekšējā gadā. </w:t>
      </w:r>
      <w:r w:rsidR="0075054C" w:rsidRPr="00090CDE">
        <w:rPr>
          <w:sz w:val="28"/>
          <w:szCs w:val="28"/>
        </w:rPr>
        <w:t xml:space="preserve">Tādējādi audžuģimeņu aprūpē esošo bērnu skaits </w:t>
      </w:r>
      <w:r w:rsidR="00FD605E" w:rsidRPr="00090CDE">
        <w:rPr>
          <w:sz w:val="28"/>
          <w:szCs w:val="28"/>
        </w:rPr>
        <w:t>2015</w:t>
      </w:r>
      <w:r w:rsidR="003643FD" w:rsidRPr="00090CDE">
        <w:rPr>
          <w:sz w:val="28"/>
          <w:szCs w:val="28"/>
        </w:rPr>
        <w:t>.gada 31.decembrī sastādīja</w:t>
      </w:r>
      <w:r w:rsidR="0075054C" w:rsidRPr="00090CDE">
        <w:rPr>
          <w:sz w:val="28"/>
          <w:szCs w:val="28"/>
        </w:rPr>
        <w:t xml:space="preserve"> </w:t>
      </w:r>
      <w:r w:rsidR="00FD605E" w:rsidRPr="00090CDE">
        <w:rPr>
          <w:sz w:val="28"/>
          <w:szCs w:val="28"/>
        </w:rPr>
        <w:t xml:space="preserve">17% no kopējā ārpusģimenes aprūpē esošo bērnu skaita. </w:t>
      </w:r>
    </w:p>
    <w:p w:rsidR="00541733" w:rsidRPr="00090CDE" w:rsidRDefault="00FD605E" w:rsidP="00C41158">
      <w:pPr>
        <w:spacing w:after="0" w:line="240" w:lineRule="auto"/>
        <w:ind w:firstLine="720"/>
        <w:rPr>
          <w:sz w:val="28"/>
          <w:szCs w:val="28"/>
        </w:rPr>
      </w:pPr>
      <w:r w:rsidRPr="00090CDE">
        <w:rPr>
          <w:sz w:val="28"/>
          <w:szCs w:val="28"/>
        </w:rPr>
        <w:t xml:space="preserve">Lai gan statistisko rādītāju apkopošanas rezultātā, secināts, ka </w:t>
      </w:r>
      <w:r w:rsidR="008513ED" w:rsidRPr="00090CDE">
        <w:rPr>
          <w:sz w:val="28"/>
          <w:szCs w:val="28"/>
        </w:rPr>
        <w:t xml:space="preserve">rādītājiem par institūcijās ievietoto bērnu skaitu kopš 2012.gada kopumā ir tendence ik gadu </w:t>
      </w:r>
      <w:r w:rsidRPr="00090CDE">
        <w:rPr>
          <w:sz w:val="28"/>
          <w:szCs w:val="28"/>
        </w:rPr>
        <w:t xml:space="preserve">samazināties, tomēr konstatējams, ka aizvien </w:t>
      </w:r>
      <w:r w:rsidR="008A150B">
        <w:rPr>
          <w:sz w:val="28"/>
          <w:szCs w:val="28"/>
        </w:rPr>
        <w:t>institūcijās ievietoto bērnu sk</w:t>
      </w:r>
      <w:r w:rsidRPr="00090CDE">
        <w:rPr>
          <w:sz w:val="28"/>
          <w:szCs w:val="28"/>
        </w:rPr>
        <w:t>a</w:t>
      </w:r>
      <w:r w:rsidR="008A150B">
        <w:rPr>
          <w:sz w:val="28"/>
          <w:szCs w:val="28"/>
        </w:rPr>
        <w:t>i</w:t>
      </w:r>
      <w:r w:rsidRPr="00090CDE">
        <w:rPr>
          <w:sz w:val="28"/>
          <w:szCs w:val="28"/>
        </w:rPr>
        <w:t>ts p</w:t>
      </w:r>
      <w:r w:rsidR="008118F0">
        <w:rPr>
          <w:sz w:val="28"/>
          <w:szCs w:val="28"/>
        </w:rPr>
        <w:t>ārsniedz bērnu skaitu, kuri ievi</w:t>
      </w:r>
      <w:r w:rsidRPr="00090CDE">
        <w:rPr>
          <w:sz w:val="28"/>
          <w:szCs w:val="28"/>
        </w:rPr>
        <w:t xml:space="preserve">etoti audžuģimenēs. Vadoties pēc 11.diagrammā atspoguļotajiem statistikas datiem, </w:t>
      </w:r>
      <w:r w:rsidR="006F45C5" w:rsidRPr="00090CDE">
        <w:rPr>
          <w:sz w:val="28"/>
          <w:szCs w:val="28"/>
        </w:rPr>
        <w:t>2012.gada 31.decembrī 1889 bērni atradās institūcijā</w:t>
      </w:r>
      <w:r w:rsidR="00C25B6E" w:rsidRPr="00090CDE">
        <w:rPr>
          <w:sz w:val="28"/>
          <w:szCs w:val="28"/>
        </w:rPr>
        <w:t xml:space="preserve">, 2013.gada 31.decembrī fiksēts mazāks institūcijās ievietoto bērnu skaits, proti, 1760, kas ir par 129 bērniem mazāk. Savukārt 2014.gada 31.decembrī fiksēti dati par 1551 bērnu, kas ir jau skaitliski par 209 bērniem mazāks rādītājs. </w:t>
      </w:r>
      <w:r w:rsidRPr="00090CDE">
        <w:rPr>
          <w:sz w:val="28"/>
          <w:szCs w:val="28"/>
        </w:rPr>
        <w:t xml:space="preserve">Apkopojot bāriņtiesu sniegtos datus, konstatēts, ka bāriņtiesas sniegušas informāciju par 1429 bērniem, kuri 2015.gada 31.decembrī atradušies institūcijās, t.i.par 122 bērniem mazāk nekā iepriekšējā gadā un sastāda 20% no kopējā ārpusģimenes aprūpē esošo </w:t>
      </w:r>
      <w:r w:rsidRPr="00090CDE">
        <w:rPr>
          <w:sz w:val="28"/>
          <w:szCs w:val="28"/>
        </w:rPr>
        <w:lastRenderedPageBreak/>
        <w:t xml:space="preserve">bērnu skaita. </w:t>
      </w:r>
      <w:r w:rsidR="00890695" w:rsidRPr="00090CDE">
        <w:rPr>
          <w:sz w:val="28"/>
          <w:szCs w:val="28"/>
        </w:rPr>
        <w:t xml:space="preserve">Iespējams minēto rādītāju izmaiņas </w:t>
      </w:r>
      <w:r w:rsidR="008C69A6" w:rsidRPr="00090CDE">
        <w:rPr>
          <w:sz w:val="28"/>
          <w:szCs w:val="28"/>
        </w:rPr>
        <w:t xml:space="preserve">tajā skaitā saistītas ar radušos iespēju kādam bērnam nodrošināt aprūpi ģimeniskā vidē. Tomēr jāņem vērā, ka </w:t>
      </w:r>
      <w:r w:rsidR="00AB60DA" w:rsidRPr="00090CDE">
        <w:rPr>
          <w:sz w:val="28"/>
          <w:szCs w:val="28"/>
        </w:rPr>
        <w:t xml:space="preserve">ne visiem bērniem pastāv iespēja nodrošināt atrašanos ģimeniskā vidē- audžuģimenē vai aizbildnībā. Bāriņtiesas kompetencē ir izvērtēt institucionālās aprūpes pakalpojuma vajadzību individuāli katram konkrētam bērnam atbilstoši bērna individuālajām vajadzībām. </w:t>
      </w:r>
    </w:p>
    <w:p w:rsidR="00496891" w:rsidRPr="00090CDE" w:rsidRDefault="00AB60DA" w:rsidP="006F45C5">
      <w:pPr>
        <w:spacing w:after="0" w:line="240" w:lineRule="auto"/>
        <w:ind w:firstLine="720"/>
        <w:rPr>
          <w:sz w:val="28"/>
          <w:szCs w:val="28"/>
        </w:rPr>
      </w:pPr>
      <w:r w:rsidRPr="00090CDE">
        <w:rPr>
          <w:sz w:val="28"/>
          <w:szCs w:val="28"/>
        </w:rPr>
        <w:t>Īstenojot bāriņtiesu darba uzraudzību, inspekcija tajā skait</w:t>
      </w:r>
      <w:r w:rsidR="003672EC" w:rsidRPr="00090CDE">
        <w:rPr>
          <w:sz w:val="28"/>
          <w:szCs w:val="28"/>
        </w:rPr>
        <w:t>ā</w:t>
      </w:r>
      <w:r w:rsidR="00CC151D" w:rsidRPr="00090CDE">
        <w:rPr>
          <w:sz w:val="28"/>
          <w:szCs w:val="28"/>
        </w:rPr>
        <w:t>,</w:t>
      </w:r>
      <w:r w:rsidR="003672EC" w:rsidRPr="00090CDE">
        <w:rPr>
          <w:sz w:val="28"/>
          <w:szCs w:val="28"/>
        </w:rPr>
        <w:t xml:space="preserve"> pārbaudot bāriņtiesas lietvedībā esošās lietas</w:t>
      </w:r>
      <w:r w:rsidR="00541733" w:rsidRPr="00090CDE">
        <w:rPr>
          <w:sz w:val="28"/>
          <w:szCs w:val="28"/>
        </w:rPr>
        <w:t>,</w:t>
      </w:r>
      <w:r w:rsidR="003672EC" w:rsidRPr="00090CDE">
        <w:rPr>
          <w:sz w:val="28"/>
          <w:szCs w:val="28"/>
        </w:rPr>
        <w:t xml:space="preserve"> pievērš uzmanību tam, vai bāriņtiesas pirms bērna ievietoša</w:t>
      </w:r>
      <w:r w:rsidR="00F75913" w:rsidRPr="00090CDE">
        <w:rPr>
          <w:sz w:val="28"/>
          <w:szCs w:val="28"/>
        </w:rPr>
        <w:t>na</w:t>
      </w:r>
      <w:r w:rsidR="00986860" w:rsidRPr="00090CDE">
        <w:rPr>
          <w:sz w:val="28"/>
          <w:szCs w:val="28"/>
        </w:rPr>
        <w:t xml:space="preserve">s institūcijā </w:t>
      </w:r>
      <w:r w:rsidR="00541733" w:rsidRPr="00090CDE">
        <w:rPr>
          <w:sz w:val="28"/>
          <w:szCs w:val="28"/>
        </w:rPr>
        <w:t>pārliecinājušā</w:t>
      </w:r>
      <w:r w:rsidR="003672EC" w:rsidRPr="00090CDE">
        <w:rPr>
          <w:sz w:val="28"/>
          <w:szCs w:val="28"/>
        </w:rPr>
        <w:t>s</w:t>
      </w:r>
      <w:r w:rsidR="00F75913" w:rsidRPr="00090CDE">
        <w:rPr>
          <w:sz w:val="28"/>
          <w:szCs w:val="28"/>
        </w:rPr>
        <w:t xml:space="preserve"> </w:t>
      </w:r>
      <w:r w:rsidR="00541733" w:rsidRPr="00090CDE">
        <w:rPr>
          <w:sz w:val="28"/>
          <w:szCs w:val="28"/>
        </w:rPr>
        <w:t>par iespēju bērnie</w:t>
      </w:r>
      <w:r w:rsidR="003672EC" w:rsidRPr="00090CDE">
        <w:rPr>
          <w:sz w:val="28"/>
          <w:szCs w:val="28"/>
        </w:rPr>
        <w:t xml:space="preserve">m nodrošināt ārpusģimenes aprūpi pie aizbildņa vai audžuģimenē, kā arī pēc tam, kad bērns jau atrodas </w:t>
      </w:r>
      <w:r w:rsidR="00541733" w:rsidRPr="00090CDE">
        <w:rPr>
          <w:sz w:val="28"/>
          <w:szCs w:val="28"/>
        </w:rPr>
        <w:t>institūcijā</w:t>
      </w:r>
      <w:r w:rsidR="00986860" w:rsidRPr="00090CDE">
        <w:rPr>
          <w:sz w:val="28"/>
          <w:szCs w:val="28"/>
        </w:rPr>
        <w:t>,</w:t>
      </w:r>
      <w:r w:rsidR="00541733" w:rsidRPr="00090CDE">
        <w:rPr>
          <w:sz w:val="28"/>
          <w:szCs w:val="28"/>
        </w:rPr>
        <w:t xml:space="preserve"> periodiski izvērtējušas iespēju</w:t>
      </w:r>
      <w:r w:rsidR="003672EC" w:rsidRPr="00090CDE">
        <w:rPr>
          <w:sz w:val="28"/>
          <w:szCs w:val="28"/>
        </w:rPr>
        <w:t xml:space="preserve"> bērnam augt ģimeniskā vidē. </w:t>
      </w:r>
    </w:p>
    <w:p w:rsidR="006F64E2" w:rsidRPr="00090CDE" w:rsidRDefault="00F75913" w:rsidP="00E77C56">
      <w:pPr>
        <w:spacing w:after="0" w:line="240" w:lineRule="auto"/>
        <w:ind w:firstLine="720"/>
        <w:rPr>
          <w:sz w:val="28"/>
          <w:szCs w:val="28"/>
        </w:rPr>
      </w:pPr>
      <w:r w:rsidRPr="00090CDE">
        <w:rPr>
          <w:sz w:val="28"/>
          <w:szCs w:val="28"/>
        </w:rPr>
        <w:t xml:space="preserve">Vadoties no statistikas datu apkopojuma, </w:t>
      </w:r>
      <w:r w:rsidR="000D4AE2" w:rsidRPr="00090CDE">
        <w:rPr>
          <w:sz w:val="28"/>
          <w:szCs w:val="28"/>
        </w:rPr>
        <w:t>secināms, ka s</w:t>
      </w:r>
      <w:r w:rsidRPr="00090CDE">
        <w:rPr>
          <w:sz w:val="28"/>
          <w:szCs w:val="28"/>
        </w:rPr>
        <w:t xml:space="preserve">alīdzinoši </w:t>
      </w:r>
      <w:r w:rsidR="00E77C56" w:rsidRPr="00090CDE">
        <w:rPr>
          <w:sz w:val="28"/>
          <w:szCs w:val="28"/>
        </w:rPr>
        <w:t xml:space="preserve">uz </w:t>
      </w:r>
      <w:r w:rsidRPr="00090CDE">
        <w:rPr>
          <w:sz w:val="28"/>
          <w:szCs w:val="28"/>
        </w:rPr>
        <w:t>2013</w:t>
      </w:r>
      <w:r w:rsidR="00E77C56" w:rsidRPr="00090CDE">
        <w:rPr>
          <w:sz w:val="28"/>
          <w:szCs w:val="28"/>
        </w:rPr>
        <w:t xml:space="preserve">.gada 31.decembri </w:t>
      </w:r>
      <w:r w:rsidR="00590B46" w:rsidRPr="00090CDE">
        <w:rPr>
          <w:sz w:val="28"/>
          <w:szCs w:val="28"/>
        </w:rPr>
        <w:t xml:space="preserve"> </w:t>
      </w:r>
      <w:r w:rsidR="00E77C56" w:rsidRPr="00090CDE">
        <w:rPr>
          <w:sz w:val="28"/>
          <w:szCs w:val="28"/>
        </w:rPr>
        <w:t>aprūpe ģimeniskā vidē</w:t>
      </w:r>
      <w:r w:rsidR="00590B46" w:rsidRPr="00090CDE">
        <w:rPr>
          <w:sz w:val="28"/>
          <w:szCs w:val="28"/>
        </w:rPr>
        <w:t xml:space="preserve"> tika nodrošināta 78% no visiem ārpusģimenes aprūpē esošajiem bērniem</w:t>
      </w:r>
      <w:r w:rsidR="00972914" w:rsidRPr="00090CDE">
        <w:rPr>
          <w:sz w:val="28"/>
          <w:szCs w:val="28"/>
        </w:rPr>
        <w:t xml:space="preserve">. Savukārt, ņemot vērā datus uz 2014.gada 31.decembri, jau 80% bērnu </w:t>
      </w:r>
      <w:r w:rsidR="00590B46" w:rsidRPr="00090CDE">
        <w:rPr>
          <w:sz w:val="28"/>
          <w:szCs w:val="28"/>
        </w:rPr>
        <w:t>nodrošināta ies</w:t>
      </w:r>
      <w:r w:rsidR="000D4AE2" w:rsidRPr="00090CDE">
        <w:rPr>
          <w:sz w:val="28"/>
          <w:szCs w:val="28"/>
        </w:rPr>
        <w:t>pēja uzturēties ģimeniskā vidē.</w:t>
      </w:r>
      <w:r w:rsidR="00CD27BD" w:rsidRPr="00090CDE">
        <w:rPr>
          <w:sz w:val="28"/>
          <w:szCs w:val="28"/>
        </w:rPr>
        <w:t xml:space="preserve"> </w:t>
      </w:r>
      <w:r w:rsidR="00CC151D" w:rsidRPr="00090CDE">
        <w:rPr>
          <w:sz w:val="28"/>
          <w:szCs w:val="28"/>
        </w:rPr>
        <w:t xml:space="preserve">Analizējot 2015.gada rādītājus, konstatēts, ka 2015.gada 32.decembrī ģimeniska vide nodrošināta 80,3% bērniem. Lai arī nav konstatēts būtisks uzlabojums kopš 2014.gada, </w:t>
      </w:r>
      <w:r w:rsidR="00CD27BD" w:rsidRPr="00090CDE">
        <w:rPr>
          <w:sz w:val="28"/>
          <w:szCs w:val="28"/>
        </w:rPr>
        <w:t xml:space="preserve">kopējos rādītājos iezīmējas pozitīvas iezīmes bērnu tiesību aizsardzības jomā. </w:t>
      </w:r>
    </w:p>
    <w:p w:rsidR="006F64E2" w:rsidRPr="00090CDE" w:rsidRDefault="006F64E2" w:rsidP="000D4AE2">
      <w:pPr>
        <w:rPr>
          <w:sz w:val="16"/>
          <w:szCs w:val="16"/>
        </w:rPr>
      </w:pPr>
    </w:p>
    <w:p w:rsidR="006559F7" w:rsidRPr="00090CDE" w:rsidRDefault="008E2FCB" w:rsidP="006559F7">
      <w:pPr>
        <w:pStyle w:val="Heading2"/>
      </w:pPr>
      <w:bookmarkStart w:id="10" w:name="_Toc455138988"/>
      <w:r w:rsidRPr="00090CDE">
        <w:t>3</w:t>
      </w:r>
      <w:r w:rsidR="00251C86" w:rsidRPr="00090CDE">
        <w:t>.2.Adoptējamo bērnu skaits, kuri atrodas ā</w:t>
      </w:r>
      <w:r w:rsidR="00EA1B2C" w:rsidRPr="00090CDE">
        <w:t>rpusģimenes aprūpē</w:t>
      </w:r>
      <w:bookmarkEnd w:id="10"/>
      <w:r w:rsidR="00EA1B2C" w:rsidRPr="00090CDE">
        <w:t xml:space="preserve"> </w:t>
      </w:r>
    </w:p>
    <w:p w:rsidR="00374CFC" w:rsidRPr="00090CDE" w:rsidRDefault="00374CFC" w:rsidP="006E5F09">
      <w:pPr>
        <w:spacing w:after="0" w:line="240" w:lineRule="auto"/>
        <w:ind w:firstLine="720"/>
        <w:rPr>
          <w:sz w:val="28"/>
          <w:szCs w:val="28"/>
        </w:rPr>
      </w:pPr>
    </w:p>
    <w:p w:rsidR="00EC2EC0" w:rsidRPr="00090CDE" w:rsidRDefault="006559F7" w:rsidP="00EC2EC0">
      <w:pPr>
        <w:spacing w:after="0"/>
        <w:ind w:firstLine="720"/>
        <w:rPr>
          <w:sz w:val="28"/>
          <w:szCs w:val="28"/>
        </w:rPr>
      </w:pPr>
      <w:r w:rsidRPr="00090CDE">
        <w:rPr>
          <w:sz w:val="28"/>
          <w:szCs w:val="28"/>
        </w:rPr>
        <w:t xml:space="preserve">Atbilstoši Bērnu tiesību aizsardzības likuma 31.panta pirmajā daļā noteiktajam, lai bērna attīstībai nodrošinātu ģimenisku vidi, tiek atbalstīta adopcija. </w:t>
      </w:r>
      <w:r w:rsidR="002D5F64" w:rsidRPr="00090CDE">
        <w:rPr>
          <w:sz w:val="28"/>
          <w:szCs w:val="28"/>
        </w:rPr>
        <w:t>Adoptējamo bērnu (vecāki miruši, vecākiem ar tiesas spriedumu ir atņemtas aizgādības tiesības, vecāki</w:t>
      </w:r>
      <w:r w:rsidR="004B05B2" w:rsidRPr="00090CDE">
        <w:rPr>
          <w:sz w:val="28"/>
          <w:szCs w:val="28"/>
        </w:rPr>
        <w:t>/aizbildņi</w:t>
      </w:r>
      <w:r w:rsidR="002D5F64" w:rsidRPr="00090CDE">
        <w:rPr>
          <w:sz w:val="28"/>
          <w:szCs w:val="28"/>
        </w:rPr>
        <w:t xml:space="preserve"> devuši piekrišanu bērna adopcijai) un to personu uzskaite, kuras vēlas adoptēt bērnu, veicama adopcijas reģistrā, un tā pārzinis ir Labklājības ministri</w:t>
      </w:r>
      <w:r w:rsidR="00541733" w:rsidRPr="00090CDE">
        <w:rPr>
          <w:sz w:val="28"/>
          <w:szCs w:val="28"/>
        </w:rPr>
        <w:t>ja</w:t>
      </w:r>
      <w:r w:rsidR="002D5F64" w:rsidRPr="00090CDE">
        <w:rPr>
          <w:sz w:val="28"/>
          <w:szCs w:val="28"/>
        </w:rPr>
        <w:t xml:space="preserve">. </w:t>
      </w:r>
      <w:r w:rsidR="00EA63F2" w:rsidRPr="00090CDE">
        <w:rPr>
          <w:sz w:val="28"/>
          <w:szCs w:val="28"/>
        </w:rPr>
        <w:t xml:space="preserve">Ministru kabineta noteikumi Nr.794 “Kārtība, kādā nodrošina adoptējamo bērnu un to personu uzskaiti, kuras vēlas adoptēt bērnu” paredz ziņu apjomu, kas iekļaujams adopcijas reģistrā par adoptējamo bērnu. </w:t>
      </w:r>
      <w:r w:rsidR="009E2108" w:rsidRPr="00090CDE">
        <w:rPr>
          <w:sz w:val="28"/>
          <w:szCs w:val="28"/>
        </w:rPr>
        <w:t>Par katru adoptējamu bērnu</w:t>
      </w:r>
      <w:r w:rsidR="00A55ECC" w:rsidRPr="00090CDE">
        <w:rPr>
          <w:sz w:val="28"/>
          <w:szCs w:val="28"/>
        </w:rPr>
        <w:t xml:space="preserve"> bērna likumiskajam pārstāvim nepieciešams aizpildīt un ministrijā iesniegt adoptējama bērna uzskaites lapu, kas satur minētajos noteikumos paredzēto informāciju, tajā skaitā ziņas par bērna veselības stāvokli, bērna agrīno attīstību, bioloģiskās ģimenes sociālo raksturojumu u.c.</w:t>
      </w:r>
      <w:r w:rsidR="000C24AC" w:rsidRPr="00090CDE">
        <w:rPr>
          <w:sz w:val="28"/>
          <w:szCs w:val="28"/>
        </w:rPr>
        <w:t xml:space="preserve"> būtisku inform</w:t>
      </w:r>
      <w:r w:rsidR="00EC2EC0" w:rsidRPr="00090CDE">
        <w:rPr>
          <w:sz w:val="28"/>
          <w:szCs w:val="28"/>
        </w:rPr>
        <w:t>āciju.</w:t>
      </w:r>
    </w:p>
    <w:p w:rsidR="00541733" w:rsidRPr="00090CDE" w:rsidRDefault="0026457E" w:rsidP="004B05B2">
      <w:pPr>
        <w:spacing w:after="0"/>
        <w:ind w:firstLine="720"/>
        <w:rPr>
          <w:sz w:val="28"/>
          <w:szCs w:val="28"/>
        </w:rPr>
      </w:pPr>
      <w:r w:rsidRPr="00090CDE">
        <w:rPr>
          <w:sz w:val="28"/>
          <w:szCs w:val="28"/>
        </w:rPr>
        <w:t>Ministru kabin</w:t>
      </w:r>
      <w:r w:rsidR="00EC2EC0" w:rsidRPr="00090CDE">
        <w:rPr>
          <w:sz w:val="28"/>
          <w:szCs w:val="28"/>
        </w:rPr>
        <w:t>eta 2003.gada 11.marta noteikumu</w:t>
      </w:r>
      <w:r w:rsidRPr="00090CDE">
        <w:rPr>
          <w:sz w:val="28"/>
          <w:szCs w:val="28"/>
        </w:rPr>
        <w:t xml:space="preserve"> Nr.111 “Adopcijas kārtība”</w:t>
      </w:r>
      <w:r w:rsidR="00FB4714" w:rsidRPr="00090CDE">
        <w:rPr>
          <w:sz w:val="28"/>
          <w:szCs w:val="28"/>
        </w:rPr>
        <w:t xml:space="preserve"> (turpmāk</w:t>
      </w:r>
      <w:r w:rsidR="00FB4714" w:rsidRPr="00090CDE">
        <w:rPr>
          <w:b/>
          <w:sz w:val="28"/>
          <w:szCs w:val="28"/>
        </w:rPr>
        <w:t xml:space="preserve">- </w:t>
      </w:r>
      <w:r w:rsidR="00E227AA" w:rsidRPr="00090CDE">
        <w:rPr>
          <w:sz w:val="28"/>
          <w:szCs w:val="28"/>
        </w:rPr>
        <w:t>a</w:t>
      </w:r>
      <w:r w:rsidR="00EC2EC0" w:rsidRPr="00090CDE">
        <w:rPr>
          <w:sz w:val="28"/>
          <w:szCs w:val="28"/>
        </w:rPr>
        <w:t xml:space="preserve">dopcijas kārtība) </w:t>
      </w:r>
      <w:r w:rsidR="00FB2EE1" w:rsidRPr="00090CDE">
        <w:rPr>
          <w:sz w:val="28"/>
          <w:szCs w:val="28"/>
        </w:rPr>
        <w:t>5.punkta 5.2. un 5.3.</w:t>
      </w:r>
      <w:r w:rsidR="000C2858" w:rsidRPr="00090CDE">
        <w:rPr>
          <w:sz w:val="28"/>
          <w:szCs w:val="28"/>
        </w:rPr>
        <w:t xml:space="preserve">apakšpunkts paredz, ka bērna adopcijai piekrišanu nepieciešams saņemt no aizbildņa, ja bērnam ir nodibināta aizbildnība un paša adoptējamā, ja viņš sasniedzis 12 gadu vecumu. </w:t>
      </w:r>
      <w:r w:rsidR="00A035AC" w:rsidRPr="00090CDE">
        <w:rPr>
          <w:sz w:val="28"/>
          <w:szCs w:val="28"/>
        </w:rPr>
        <w:t>Tomēr</w:t>
      </w:r>
      <w:r w:rsidR="00C6411A" w:rsidRPr="00090CDE">
        <w:rPr>
          <w:sz w:val="28"/>
          <w:szCs w:val="28"/>
        </w:rPr>
        <w:t xml:space="preserve"> bērna viedokli nepieciešams noskaidrot visos gadījumos, kad vien bērns spēj to formulēt, arī pirms 12 </w:t>
      </w:r>
      <w:r w:rsidR="00495620" w:rsidRPr="00090CDE">
        <w:rPr>
          <w:sz w:val="28"/>
          <w:szCs w:val="28"/>
        </w:rPr>
        <w:t xml:space="preserve">gadu vecuma sasniegšanas. </w:t>
      </w:r>
    </w:p>
    <w:p w:rsidR="004314DF" w:rsidRPr="00090CDE" w:rsidRDefault="004314DF" w:rsidP="004B05B2">
      <w:pPr>
        <w:spacing w:after="0"/>
        <w:ind w:firstLine="720"/>
        <w:rPr>
          <w:sz w:val="28"/>
          <w:szCs w:val="28"/>
        </w:rPr>
      </w:pPr>
    </w:p>
    <w:p w:rsidR="004314DF" w:rsidRPr="00090CDE" w:rsidRDefault="004314DF" w:rsidP="004B05B2">
      <w:pPr>
        <w:jc w:val="right"/>
        <w:rPr>
          <w:sz w:val="28"/>
          <w:szCs w:val="28"/>
        </w:rPr>
      </w:pPr>
    </w:p>
    <w:p w:rsidR="001C2A9E" w:rsidRPr="00090CDE" w:rsidRDefault="00466505" w:rsidP="004314DF">
      <w:pPr>
        <w:jc w:val="right"/>
        <w:rPr>
          <w:b/>
          <w:sz w:val="26"/>
          <w:szCs w:val="26"/>
        </w:rPr>
      </w:pPr>
      <w:r w:rsidRPr="00090CDE">
        <w:rPr>
          <w:b/>
          <w:sz w:val="26"/>
          <w:szCs w:val="26"/>
        </w:rPr>
        <w:lastRenderedPageBreak/>
        <w:t>12</w:t>
      </w:r>
      <w:r w:rsidR="00657331" w:rsidRPr="00090CDE">
        <w:rPr>
          <w:b/>
          <w:sz w:val="26"/>
          <w:szCs w:val="26"/>
        </w:rPr>
        <w:t>.diagramma</w:t>
      </w:r>
    </w:p>
    <w:p w:rsidR="00AA1E12" w:rsidRPr="00090CDE" w:rsidRDefault="00AA1E12" w:rsidP="004B05B2">
      <w:pPr>
        <w:spacing w:after="0" w:line="240" w:lineRule="auto"/>
        <w:ind w:firstLine="720"/>
        <w:rPr>
          <w:sz w:val="28"/>
          <w:szCs w:val="28"/>
        </w:rPr>
      </w:pPr>
      <w:r w:rsidRPr="00090CDE">
        <w:rPr>
          <w:noProof/>
          <w:lang w:val="en-GB" w:eastAsia="en-GB"/>
        </w:rPr>
        <w:drawing>
          <wp:inline distT="0" distB="0" distL="0" distR="0" wp14:anchorId="6C2B616F" wp14:editId="5745D8DB">
            <wp:extent cx="5219700" cy="3490595"/>
            <wp:effectExtent l="0" t="0" r="0" b="14605"/>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A1E12" w:rsidRPr="00090CDE" w:rsidRDefault="00AA1E12" w:rsidP="004B05B2">
      <w:pPr>
        <w:spacing w:after="0" w:line="240" w:lineRule="auto"/>
        <w:rPr>
          <w:sz w:val="28"/>
          <w:szCs w:val="28"/>
        </w:rPr>
      </w:pPr>
    </w:p>
    <w:p w:rsidR="004B05B2" w:rsidRPr="00090CDE" w:rsidRDefault="0005019E" w:rsidP="004B05B2">
      <w:pPr>
        <w:spacing w:after="0" w:line="240" w:lineRule="auto"/>
        <w:ind w:firstLine="720"/>
        <w:rPr>
          <w:sz w:val="28"/>
          <w:szCs w:val="28"/>
        </w:rPr>
      </w:pPr>
      <w:r w:rsidRPr="00090CDE">
        <w:rPr>
          <w:sz w:val="28"/>
          <w:szCs w:val="28"/>
        </w:rPr>
        <w:t>No 12.diagrammā redzamā datu apkopojuma par kopējo ārpusģimenes aprūpē esošo adoptējamo bērnu skaitu, vērojams, ka situācija par kopējo adoptējamo (juridiski brīvo) bērnu skaitu ir mainīga. Proti, vadoties pēc datu apkopojuma, 2013.gadā adoptējamo bērnu skaits salīdzinājumā ar 2012.gadu ir ievērojami pieaudzis</w:t>
      </w:r>
      <w:r w:rsidR="007B0C3E" w:rsidRPr="00090CDE">
        <w:rPr>
          <w:sz w:val="28"/>
          <w:szCs w:val="28"/>
        </w:rPr>
        <w:t xml:space="preserve"> (skaitliski par 719 bērniem), p</w:t>
      </w:r>
      <w:r w:rsidRPr="00090CDE">
        <w:rPr>
          <w:sz w:val="28"/>
          <w:szCs w:val="28"/>
        </w:rPr>
        <w:t xml:space="preserve">roti, </w:t>
      </w:r>
      <w:r w:rsidR="007B0C3E" w:rsidRPr="00090CDE">
        <w:rPr>
          <w:sz w:val="28"/>
          <w:szCs w:val="28"/>
        </w:rPr>
        <w:t xml:space="preserve">bāriņtiesas sniegušas ziņas par 3013 bērniem- 2012.gadā un 3732 bērniem- 2013.gadā. </w:t>
      </w:r>
      <w:r w:rsidR="002A0BA9" w:rsidRPr="00090CDE">
        <w:rPr>
          <w:sz w:val="28"/>
          <w:szCs w:val="28"/>
        </w:rPr>
        <w:t xml:space="preserve">Uz 2014.gada 31.decembri fiksēti dati par 3557 adoptējamiem bērniem, kas ir par 175 bērniem mazāk nekā iepriekšējā gadā. </w:t>
      </w:r>
      <w:r w:rsidR="004B05B2" w:rsidRPr="00090CDE">
        <w:rPr>
          <w:sz w:val="28"/>
          <w:szCs w:val="28"/>
        </w:rPr>
        <w:t xml:space="preserve">Savukārt 2015.gadā adoptējamo bērnu skaits atkal ir nedaudz pieaudzis, proti, bāriņtiesas sniegušas datus par 3580 ārpusģimenes aprūpē esošiem adoptējamiem bērniem, t.i. par 23 bērniem vairāk nekā iepriekšējā gadā. </w:t>
      </w:r>
    </w:p>
    <w:p w:rsidR="00AB0626" w:rsidRPr="00090CDE" w:rsidRDefault="002A0BA9" w:rsidP="00AB0626">
      <w:pPr>
        <w:spacing w:after="0" w:line="240" w:lineRule="auto"/>
        <w:ind w:firstLine="720"/>
        <w:rPr>
          <w:sz w:val="28"/>
          <w:szCs w:val="28"/>
        </w:rPr>
      </w:pPr>
      <w:r w:rsidRPr="00090CDE">
        <w:rPr>
          <w:sz w:val="28"/>
          <w:szCs w:val="28"/>
        </w:rPr>
        <w:t xml:space="preserve">Apkopojot </w:t>
      </w:r>
      <w:r w:rsidR="004B05B2" w:rsidRPr="00090CDE">
        <w:rPr>
          <w:sz w:val="28"/>
          <w:szCs w:val="28"/>
        </w:rPr>
        <w:t xml:space="preserve">statistikas </w:t>
      </w:r>
      <w:r w:rsidRPr="00090CDE">
        <w:rPr>
          <w:sz w:val="28"/>
          <w:szCs w:val="28"/>
        </w:rPr>
        <w:t>datus</w:t>
      </w:r>
      <w:r w:rsidR="00541733" w:rsidRPr="00090CDE">
        <w:rPr>
          <w:sz w:val="28"/>
          <w:szCs w:val="28"/>
        </w:rPr>
        <w:t xml:space="preserve"> par </w:t>
      </w:r>
      <w:r w:rsidR="004B05B2" w:rsidRPr="00090CDE">
        <w:rPr>
          <w:sz w:val="28"/>
          <w:szCs w:val="28"/>
        </w:rPr>
        <w:t xml:space="preserve">2015.gadu, konstatējams, ka </w:t>
      </w:r>
      <w:r w:rsidR="00AB0626" w:rsidRPr="00090CDE">
        <w:rPr>
          <w:sz w:val="28"/>
          <w:szCs w:val="28"/>
        </w:rPr>
        <w:t>1519 bērni no kopējā adoptējamo bērnu skaita nav devuši savu piekrišanu adopcijai (salīdzinājumam 2014.gadā- 1530 bērni). Tāpat bāriņtiesas savu pilnvaru ietvaros noskaidrojušas, ka 2015.gadā kopumā 118 bērni no 3580 adoptējamiem bērniem nepiekrīt adopcijai uz ārvalstīm, kas nozīmē, ka šie bērni labprāt piekristu, ka viņus adoptē ģimene Latvijā. Salīdzinoši 2014.gadā 116</w:t>
      </w:r>
      <w:r w:rsidR="00CD07AE" w:rsidRPr="00090CDE">
        <w:rPr>
          <w:sz w:val="28"/>
          <w:szCs w:val="28"/>
        </w:rPr>
        <w:t xml:space="preserve"> </w:t>
      </w:r>
      <w:r w:rsidR="00AB0626" w:rsidRPr="00090CDE">
        <w:rPr>
          <w:sz w:val="28"/>
          <w:szCs w:val="28"/>
        </w:rPr>
        <w:t>bērni no 3357</w:t>
      </w:r>
      <w:r w:rsidR="00AA6521" w:rsidRPr="00090CDE">
        <w:rPr>
          <w:sz w:val="28"/>
          <w:szCs w:val="28"/>
        </w:rPr>
        <w:t xml:space="preserve"> adoptējamiem bērniem </w:t>
      </w:r>
      <w:r w:rsidR="00CD07AE" w:rsidRPr="00090CDE">
        <w:rPr>
          <w:sz w:val="28"/>
          <w:szCs w:val="28"/>
        </w:rPr>
        <w:t xml:space="preserve">nav piekrituši adopcijai uz ārvalstīm. </w:t>
      </w:r>
      <w:r w:rsidR="00AB0626" w:rsidRPr="00090CDE">
        <w:rPr>
          <w:sz w:val="28"/>
          <w:szCs w:val="28"/>
        </w:rPr>
        <w:t xml:space="preserve">Konstatēts, ka 2013.gadā ievērojami lielāks bērnu skaits, proti, 380 bērni nav piekrituši adocpijai uz ārvalstīm. </w:t>
      </w:r>
    </w:p>
    <w:p w:rsidR="005A3AAC" w:rsidRPr="00090CDE" w:rsidRDefault="0044601D" w:rsidP="00AB0626">
      <w:pPr>
        <w:spacing w:after="0" w:line="240" w:lineRule="auto"/>
        <w:ind w:firstLine="720"/>
        <w:rPr>
          <w:sz w:val="28"/>
          <w:szCs w:val="28"/>
        </w:rPr>
      </w:pPr>
      <w:r w:rsidRPr="00090CDE">
        <w:rPr>
          <w:sz w:val="28"/>
          <w:szCs w:val="28"/>
        </w:rPr>
        <w:t>Tāpat, vadoties pēc</w:t>
      </w:r>
      <w:r w:rsidR="00F047EF" w:rsidRPr="00090CDE">
        <w:rPr>
          <w:sz w:val="28"/>
          <w:szCs w:val="28"/>
        </w:rPr>
        <w:t xml:space="preserve"> bāriņtiesu pārskatu veidlapā</w:t>
      </w:r>
      <w:r w:rsidRPr="00090CDE">
        <w:rPr>
          <w:sz w:val="28"/>
          <w:szCs w:val="28"/>
        </w:rPr>
        <w:t>s</w:t>
      </w:r>
      <w:r w:rsidR="00F047EF" w:rsidRPr="00090CDE">
        <w:rPr>
          <w:sz w:val="28"/>
          <w:szCs w:val="28"/>
        </w:rPr>
        <w:t xml:space="preserve"> fiksētās informācijas, </w:t>
      </w:r>
      <w:r w:rsidR="00AA6521" w:rsidRPr="00090CDE">
        <w:rPr>
          <w:sz w:val="28"/>
          <w:szCs w:val="28"/>
        </w:rPr>
        <w:t xml:space="preserve">2014.gadā par 2038 </w:t>
      </w:r>
      <w:r w:rsidR="00F047EF" w:rsidRPr="00090CDE">
        <w:rPr>
          <w:sz w:val="28"/>
          <w:szCs w:val="28"/>
        </w:rPr>
        <w:t xml:space="preserve">bērniem aizbildņi nav devuši </w:t>
      </w:r>
      <w:r w:rsidR="00F806E5" w:rsidRPr="00090CDE">
        <w:rPr>
          <w:sz w:val="28"/>
          <w:szCs w:val="28"/>
        </w:rPr>
        <w:t>piekri</w:t>
      </w:r>
      <w:r w:rsidR="00AB0626" w:rsidRPr="00090CDE">
        <w:rPr>
          <w:sz w:val="28"/>
          <w:szCs w:val="28"/>
        </w:rPr>
        <w:t xml:space="preserve">šanu sava aizbilstamā adopcijai, savukārt 2015.gadā par 1752 bērniem aizbildņi šādu piekrišanu nav devuši, tātad par 316 bērniem mazāk kā 2014.gadā. </w:t>
      </w:r>
      <w:r w:rsidR="00951022" w:rsidRPr="00090CDE">
        <w:rPr>
          <w:sz w:val="28"/>
          <w:szCs w:val="28"/>
        </w:rPr>
        <w:t>Sīkāku datu atspoguļojumu</w:t>
      </w:r>
      <w:r w:rsidR="004B05B2" w:rsidRPr="00090CDE">
        <w:rPr>
          <w:sz w:val="28"/>
          <w:szCs w:val="28"/>
        </w:rPr>
        <w:t xml:space="preserve"> par pēdējiem četriem gadiem</w:t>
      </w:r>
      <w:r w:rsidR="00951022" w:rsidRPr="00090CDE">
        <w:rPr>
          <w:sz w:val="28"/>
          <w:szCs w:val="28"/>
        </w:rPr>
        <w:t xml:space="preserve"> skatīt 12.diagrammā. </w:t>
      </w:r>
    </w:p>
    <w:p w:rsidR="00A6598F" w:rsidRPr="00090CDE" w:rsidRDefault="00A6598F" w:rsidP="00A6598F">
      <w:pPr>
        <w:spacing w:after="0" w:line="240" w:lineRule="auto"/>
        <w:ind w:firstLine="720"/>
        <w:rPr>
          <w:sz w:val="28"/>
          <w:szCs w:val="28"/>
        </w:rPr>
      </w:pPr>
    </w:p>
    <w:p w:rsidR="00AC5852" w:rsidRPr="00090CDE" w:rsidRDefault="008E2FCB" w:rsidP="0074191A">
      <w:pPr>
        <w:pStyle w:val="Heading2"/>
      </w:pPr>
      <w:bookmarkStart w:id="11" w:name="_Toc455138989"/>
      <w:r w:rsidRPr="00090CDE">
        <w:lastRenderedPageBreak/>
        <w:t>3</w:t>
      </w:r>
      <w:r w:rsidR="00251C86" w:rsidRPr="00090CDE">
        <w:t>.3.Ārpusģimenes aprūpe pārskata gadā</w:t>
      </w:r>
      <w:bookmarkEnd w:id="11"/>
    </w:p>
    <w:p w:rsidR="0074191A" w:rsidRPr="00090CDE" w:rsidRDefault="0074191A" w:rsidP="0074191A">
      <w:pPr>
        <w:rPr>
          <w:sz w:val="10"/>
          <w:szCs w:val="10"/>
        </w:rPr>
      </w:pPr>
    </w:p>
    <w:p w:rsidR="000A6F98" w:rsidRPr="00090CDE" w:rsidRDefault="00584210" w:rsidP="00584210">
      <w:pPr>
        <w:tabs>
          <w:tab w:val="num" w:pos="709"/>
        </w:tabs>
        <w:spacing w:after="0" w:line="240" w:lineRule="auto"/>
        <w:rPr>
          <w:bCs/>
          <w:sz w:val="28"/>
          <w:szCs w:val="28"/>
        </w:rPr>
      </w:pPr>
      <w:r w:rsidRPr="00090CDE">
        <w:rPr>
          <w:bCs/>
          <w:sz w:val="28"/>
          <w:szCs w:val="28"/>
        </w:rPr>
        <w:tab/>
      </w:r>
      <w:r w:rsidR="00290EBF" w:rsidRPr="00090CDE">
        <w:rPr>
          <w:bCs/>
          <w:sz w:val="28"/>
          <w:szCs w:val="28"/>
        </w:rPr>
        <w:t>2015</w:t>
      </w:r>
      <w:r w:rsidR="000C361E" w:rsidRPr="00090CDE">
        <w:rPr>
          <w:bCs/>
          <w:sz w:val="28"/>
          <w:szCs w:val="28"/>
        </w:rPr>
        <w:t>.gadā, pamatojoties uz bāriņtiesu pieņemtajiem lēmumiem, ārpusģime</w:t>
      </w:r>
      <w:r w:rsidR="0010581C" w:rsidRPr="00090CDE">
        <w:rPr>
          <w:bCs/>
          <w:sz w:val="28"/>
          <w:szCs w:val="28"/>
        </w:rPr>
        <w:t xml:space="preserve">nes aprūpe </w:t>
      </w:r>
      <w:r w:rsidR="00AC5852" w:rsidRPr="00090CDE">
        <w:rPr>
          <w:bCs/>
          <w:sz w:val="28"/>
          <w:szCs w:val="28"/>
        </w:rPr>
        <w:t xml:space="preserve">tika nodrošināta </w:t>
      </w:r>
      <w:r w:rsidR="00290EBF" w:rsidRPr="00090CDE">
        <w:rPr>
          <w:bCs/>
          <w:sz w:val="28"/>
          <w:szCs w:val="28"/>
        </w:rPr>
        <w:t>1402 bērniem, kas ir par 155</w:t>
      </w:r>
      <w:r w:rsidR="000C361E" w:rsidRPr="00090CDE">
        <w:rPr>
          <w:bCs/>
          <w:sz w:val="28"/>
          <w:szCs w:val="28"/>
        </w:rPr>
        <w:t xml:space="preserve"> bērniem mazāk kā iepriekšējā gadā. </w:t>
      </w:r>
    </w:p>
    <w:p w:rsidR="00D7271C" w:rsidRPr="00090CDE" w:rsidRDefault="00541733" w:rsidP="00397DCA">
      <w:pPr>
        <w:spacing w:after="0" w:line="240" w:lineRule="auto"/>
        <w:ind w:firstLine="720"/>
        <w:rPr>
          <w:sz w:val="28"/>
          <w:szCs w:val="28"/>
        </w:rPr>
      </w:pPr>
      <w:r w:rsidRPr="00090CDE">
        <w:rPr>
          <w:sz w:val="28"/>
          <w:szCs w:val="28"/>
        </w:rPr>
        <w:t>Vadoties pēc apkopotās statistiskās informācijas 13.dia</w:t>
      </w:r>
      <w:r w:rsidR="00FB7EDE">
        <w:rPr>
          <w:sz w:val="28"/>
          <w:szCs w:val="28"/>
        </w:rPr>
        <w:t>grammā (25</w:t>
      </w:r>
      <w:r w:rsidRPr="00090CDE">
        <w:rPr>
          <w:sz w:val="28"/>
          <w:szCs w:val="28"/>
        </w:rPr>
        <w:t>.lpp.)</w:t>
      </w:r>
      <w:r w:rsidR="00393D93" w:rsidRPr="00090CDE">
        <w:rPr>
          <w:sz w:val="28"/>
          <w:szCs w:val="28"/>
        </w:rPr>
        <w:t>,</w:t>
      </w:r>
      <w:r w:rsidRPr="00090CDE">
        <w:rPr>
          <w:sz w:val="28"/>
          <w:szCs w:val="28"/>
        </w:rPr>
        <w:t xml:space="preserve"> analogi iepriekšējo gadu rādītājiem, lielākajam bērnu skaitam, proti, </w:t>
      </w:r>
      <w:r w:rsidR="00290EBF" w:rsidRPr="00090CDE">
        <w:rPr>
          <w:sz w:val="28"/>
          <w:szCs w:val="28"/>
        </w:rPr>
        <w:t>667</w:t>
      </w:r>
      <w:r w:rsidRPr="00090CDE">
        <w:rPr>
          <w:sz w:val="28"/>
          <w:szCs w:val="28"/>
        </w:rPr>
        <w:t xml:space="preserve"> bāreņiem un bez vecāku gādības palikušiem bērn</w:t>
      </w:r>
      <w:r w:rsidR="00290EBF" w:rsidRPr="00090CDE">
        <w:rPr>
          <w:sz w:val="28"/>
          <w:szCs w:val="28"/>
        </w:rPr>
        <w:t>iem nodibināta aizbildnība (2014.gadā-772</w:t>
      </w:r>
      <w:r w:rsidRPr="00090CDE">
        <w:rPr>
          <w:sz w:val="28"/>
          <w:szCs w:val="28"/>
        </w:rPr>
        <w:t xml:space="preserve"> bērni) un bērnu tiesību un interešu pārstāvībai iecelts aizbildnis. Vienlaikus ko</w:t>
      </w:r>
      <w:r w:rsidR="00D7271C" w:rsidRPr="00090CDE">
        <w:rPr>
          <w:sz w:val="28"/>
          <w:szCs w:val="28"/>
        </w:rPr>
        <w:t>nstatēts, ka, salīdzinot ar 2014</w:t>
      </w:r>
      <w:r w:rsidRPr="00090CDE">
        <w:rPr>
          <w:sz w:val="28"/>
          <w:szCs w:val="28"/>
        </w:rPr>
        <w:t>.gadu, samazinājies institūcijās ievietoto bērnu skaits, proti, apkopojot da</w:t>
      </w:r>
      <w:r w:rsidR="00D7271C" w:rsidRPr="00090CDE">
        <w:rPr>
          <w:sz w:val="28"/>
          <w:szCs w:val="28"/>
        </w:rPr>
        <w:t>tus, noskaidrots, ka kopumā 2015.gadā 440</w:t>
      </w:r>
      <w:r w:rsidRPr="00090CDE">
        <w:rPr>
          <w:sz w:val="28"/>
          <w:szCs w:val="28"/>
        </w:rPr>
        <w:t xml:space="preserve"> bērniem ārpusģimenes aprūpe tika nodrošināta institūcij</w:t>
      </w:r>
      <w:r w:rsidR="00D7271C" w:rsidRPr="00090CDE">
        <w:rPr>
          <w:sz w:val="28"/>
          <w:szCs w:val="28"/>
        </w:rPr>
        <w:t>ā (salīdzinoši 2014.gadā-468</w:t>
      </w:r>
      <w:r w:rsidRPr="00090CDE">
        <w:rPr>
          <w:sz w:val="28"/>
          <w:szCs w:val="28"/>
        </w:rPr>
        <w:t xml:space="preserve"> bērniem). </w:t>
      </w:r>
      <w:r w:rsidR="00D7271C" w:rsidRPr="00090CDE">
        <w:rPr>
          <w:sz w:val="28"/>
          <w:szCs w:val="28"/>
        </w:rPr>
        <w:t>Tāpat noskaidrots, ka 293</w:t>
      </w:r>
      <w:r w:rsidRPr="00090CDE">
        <w:rPr>
          <w:sz w:val="28"/>
          <w:szCs w:val="28"/>
        </w:rPr>
        <w:t xml:space="preserve"> bērnu aprūpes un audzināšanas pienākumus uzņ</w:t>
      </w:r>
      <w:r w:rsidR="00D7271C" w:rsidRPr="00090CDE">
        <w:rPr>
          <w:sz w:val="28"/>
          <w:szCs w:val="28"/>
        </w:rPr>
        <w:t>ēmās audžuģimenes (2013.gadā-318</w:t>
      </w:r>
      <w:r w:rsidRPr="00090CDE">
        <w:rPr>
          <w:sz w:val="28"/>
          <w:szCs w:val="28"/>
        </w:rPr>
        <w:t xml:space="preserve"> bērni). </w:t>
      </w:r>
      <w:r w:rsidR="00D7271C" w:rsidRPr="00090CDE">
        <w:rPr>
          <w:sz w:val="28"/>
          <w:szCs w:val="28"/>
        </w:rPr>
        <w:t>Tādējādi, ievērojot minētos rādītājus konstatēts, ka aprūpe ģimeniskā vidē tika nodrošināta 68,4% no visiem 2015.gada ietvaros ārpusģimenes aprūpē nodotajiem bērniem. Salīdzinoši 2014.gadā aprūpe ģimeniskā vidē tika nodrošināta 70% no visiem 2014.gada ietvaros ārpusģimenes aprūpē nodotajiem bērniem, kas ir nedaudz procentuāli lielāks rādītājs kā 2013.gadā (attiecīgais rādītā</w:t>
      </w:r>
      <w:r w:rsidR="00397DCA" w:rsidRPr="00090CDE">
        <w:rPr>
          <w:sz w:val="28"/>
          <w:szCs w:val="28"/>
        </w:rPr>
        <w:t>js skaitliski sastādīja 67,5%).</w:t>
      </w:r>
    </w:p>
    <w:p w:rsidR="00541733" w:rsidRPr="00090CDE" w:rsidRDefault="00541733" w:rsidP="000C361E">
      <w:pPr>
        <w:tabs>
          <w:tab w:val="num" w:pos="1080"/>
        </w:tabs>
        <w:spacing w:after="0" w:line="240" w:lineRule="auto"/>
        <w:jc w:val="right"/>
        <w:rPr>
          <w:b/>
          <w:bCs/>
          <w:sz w:val="10"/>
          <w:szCs w:val="10"/>
        </w:rPr>
      </w:pPr>
    </w:p>
    <w:p w:rsidR="000C361E" w:rsidRPr="00090CDE" w:rsidRDefault="00B32FB7" w:rsidP="000C361E">
      <w:pPr>
        <w:tabs>
          <w:tab w:val="num" w:pos="1080"/>
        </w:tabs>
        <w:spacing w:after="0" w:line="240" w:lineRule="auto"/>
        <w:jc w:val="right"/>
        <w:rPr>
          <w:b/>
          <w:bCs/>
          <w:sz w:val="26"/>
          <w:szCs w:val="26"/>
        </w:rPr>
      </w:pPr>
      <w:r w:rsidRPr="00090CDE">
        <w:rPr>
          <w:b/>
          <w:bCs/>
          <w:sz w:val="26"/>
          <w:szCs w:val="26"/>
        </w:rPr>
        <w:t>13</w:t>
      </w:r>
      <w:r w:rsidR="000C361E" w:rsidRPr="00090CDE">
        <w:rPr>
          <w:b/>
          <w:bCs/>
          <w:sz w:val="26"/>
          <w:szCs w:val="26"/>
        </w:rPr>
        <w:t>.diagramma</w:t>
      </w:r>
    </w:p>
    <w:p w:rsidR="003A24B4" w:rsidRPr="00090CDE" w:rsidRDefault="003A24B4" w:rsidP="00397DCA">
      <w:pPr>
        <w:spacing w:after="0" w:line="240" w:lineRule="auto"/>
        <w:rPr>
          <w:rFonts w:cs="Times New Roman"/>
          <w:sz w:val="28"/>
          <w:szCs w:val="28"/>
        </w:rPr>
      </w:pPr>
    </w:p>
    <w:p w:rsidR="003A24B4" w:rsidRPr="00090CDE" w:rsidRDefault="003A24B4" w:rsidP="00D7271C">
      <w:pPr>
        <w:spacing w:after="0" w:line="240" w:lineRule="auto"/>
        <w:ind w:firstLine="720"/>
        <w:rPr>
          <w:rFonts w:cs="Times New Roman"/>
          <w:sz w:val="28"/>
          <w:szCs w:val="28"/>
        </w:rPr>
      </w:pPr>
      <w:r w:rsidRPr="00090CDE">
        <w:rPr>
          <w:noProof/>
          <w:lang w:val="en-GB" w:eastAsia="en-GB"/>
        </w:rPr>
        <w:drawing>
          <wp:inline distT="0" distB="0" distL="0" distR="0" wp14:anchorId="2D9D3B60" wp14:editId="03FBA859">
            <wp:extent cx="5129212" cy="2743200"/>
            <wp:effectExtent l="0" t="0" r="14605"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A24B4" w:rsidRPr="00090CDE" w:rsidRDefault="003A24B4" w:rsidP="00A85520">
      <w:pPr>
        <w:spacing w:after="0" w:line="240" w:lineRule="auto"/>
        <w:ind w:firstLine="720"/>
        <w:rPr>
          <w:rFonts w:cs="Times New Roman"/>
          <w:sz w:val="28"/>
          <w:szCs w:val="28"/>
        </w:rPr>
      </w:pPr>
    </w:p>
    <w:p w:rsidR="00A85520" w:rsidRPr="00090CDE" w:rsidRDefault="00A85520" w:rsidP="00A85520">
      <w:pPr>
        <w:spacing w:after="0" w:line="240" w:lineRule="auto"/>
        <w:ind w:firstLine="720"/>
        <w:rPr>
          <w:sz w:val="28"/>
          <w:szCs w:val="28"/>
        </w:rPr>
      </w:pPr>
      <w:r w:rsidRPr="00090CDE">
        <w:rPr>
          <w:rFonts w:cs="Times New Roman"/>
          <w:sz w:val="28"/>
          <w:szCs w:val="28"/>
        </w:rPr>
        <w:t xml:space="preserve">Inspekcija tāpat kā iepriekšējā gadā apkopojusi bāriņtiesu sniegto informāciju par izplatītākajiem iemesliem, </w:t>
      </w:r>
      <w:r w:rsidRPr="00090CDE">
        <w:rPr>
          <w:sz w:val="28"/>
          <w:szCs w:val="28"/>
        </w:rPr>
        <w:t xml:space="preserve">kuru dēļ bāriņtiesām atbilstoši Bāriņtiesu likumā noteiktajai bāriņtiesas kompetencei bija nepieciešams </w:t>
      </w:r>
      <w:r w:rsidR="00D7271C" w:rsidRPr="00090CDE">
        <w:rPr>
          <w:sz w:val="28"/>
          <w:szCs w:val="28"/>
        </w:rPr>
        <w:t>2015</w:t>
      </w:r>
      <w:r w:rsidRPr="00090CDE">
        <w:rPr>
          <w:sz w:val="28"/>
          <w:szCs w:val="28"/>
        </w:rPr>
        <w:t>.gadā nodrošināt bērniem ārpusģimenes aprūpi aizbildnībā, audžuģimenē vai institūcijā, tādējādi iegūstot pilnīgākus datus par tendencēm saistībā ar bērnu ārpusģimenes aprūpi. Apkopojot datus, konstatēts, ka v</w:t>
      </w:r>
      <w:r w:rsidR="00D7271C" w:rsidRPr="00090CDE">
        <w:rPr>
          <w:sz w:val="28"/>
          <w:szCs w:val="28"/>
        </w:rPr>
        <w:t>islielākajam bērnu skaitam (1152</w:t>
      </w:r>
      <w:r w:rsidRPr="00090CDE">
        <w:rPr>
          <w:sz w:val="28"/>
          <w:szCs w:val="28"/>
        </w:rPr>
        <w:t>), analogi kā 2012.</w:t>
      </w:r>
      <w:r w:rsidR="00D7271C" w:rsidRPr="00090CDE">
        <w:rPr>
          <w:sz w:val="28"/>
          <w:szCs w:val="28"/>
        </w:rPr>
        <w:t>,2013.un 2014</w:t>
      </w:r>
      <w:r w:rsidRPr="00090CDE">
        <w:rPr>
          <w:sz w:val="28"/>
          <w:szCs w:val="28"/>
        </w:rPr>
        <w:t xml:space="preserve">.gadā, ārpusģimenes aprūpe nodrošināta, jo viņu vecākiem pārtrauktas vai atņemtas bērna aizgādības tiesības, respektīvi, procentuāli šo bērnu skaits sastāda </w:t>
      </w:r>
      <w:r w:rsidR="00102CDA" w:rsidRPr="00090CDE">
        <w:rPr>
          <w:sz w:val="28"/>
          <w:szCs w:val="28"/>
        </w:rPr>
        <w:t>82,16</w:t>
      </w:r>
      <w:r w:rsidRPr="00090CDE">
        <w:rPr>
          <w:sz w:val="28"/>
          <w:szCs w:val="28"/>
        </w:rPr>
        <w:t xml:space="preserve"> % no visiem ārpusģimene</w:t>
      </w:r>
      <w:r w:rsidR="00102CDA" w:rsidRPr="00090CDE">
        <w:rPr>
          <w:sz w:val="28"/>
          <w:szCs w:val="28"/>
        </w:rPr>
        <w:t>s aprūpē nodotajiem bērniem 2015</w:t>
      </w:r>
      <w:r w:rsidRPr="00090CDE">
        <w:rPr>
          <w:sz w:val="28"/>
          <w:szCs w:val="28"/>
        </w:rPr>
        <w:t xml:space="preserve">.gadā. Tādējādi </w:t>
      </w:r>
      <w:r w:rsidRPr="00090CDE">
        <w:rPr>
          <w:sz w:val="28"/>
          <w:szCs w:val="28"/>
        </w:rPr>
        <w:lastRenderedPageBreak/>
        <w:t xml:space="preserve">secināms, ka lielākoties ārpusģimenes aprūpe bērniem nodrošināta, jo bērns vecāka vainas dēļ atradies veselībai vai dzīvībai bīstamos apstākļos, vecāks nav nodrošinājis bērnam nepieciešamo aprūpi vai uzraudzību, vecāks izturējies vardarbīgi pret bērnu u.c. Bāriņtiesu likuma 22.pantā noteiktajos gadījumos. </w:t>
      </w:r>
    </w:p>
    <w:p w:rsidR="00102CDA" w:rsidRPr="00090CDE" w:rsidRDefault="00A85520" w:rsidP="00A85520">
      <w:pPr>
        <w:spacing w:after="0" w:line="240" w:lineRule="auto"/>
        <w:ind w:firstLine="720"/>
        <w:rPr>
          <w:sz w:val="28"/>
          <w:szCs w:val="28"/>
        </w:rPr>
      </w:pPr>
      <w:r w:rsidRPr="00090CDE">
        <w:rPr>
          <w:sz w:val="28"/>
          <w:szCs w:val="28"/>
        </w:rPr>
        <w:t>Kā redza</w:t>
      </w:r>
      <w:r w:rsidR="00397DCA" w:rsidRPr="00090CDE">
        <w:rPr>
          <w:sz w:val="28"/>
          <w:szCs w:val="28"/>
        </w:rPr>
        <w:t>ms 14.diagrammā (26</w:t>
      </w:r>
      <w:r w:rsidR="00102CDA" w:rsidRPr="00090CDE">
        <w:rPr>
          <w:sz w:val="28"/>
          <w:szCs w:val="28"/>
        </w:rPr>
        <w:t>.lpp.),  ievērojamāki mazāks bērnu skaits</w:t>
      </w:r>
      <w:r w:rsidRPr="00090CDE">
        <w:rPr>
          <w:sz w:val="28"/>
          <w:szCs w:val="28"/>
        </w:rPr>
        <w:t xml:space="preserve">, proti, </w:t>
      </w:r>
      <w:r w:rsidR="00102CDA" w:rsidRPr="00090CDE">
        <w:rPr>
          <w:sz w:val="28"/>
          <w:szCs w:val="28"/>
        </w:rPr>
        <w:t>69 bērni (4.92%) no ārpusģimenes aprūpē nodotajiem bērniem 2015.gadā ir bērni bāreņi (vecāki miruši vai izsludināti par mirušiem).</w:t>
      </w:r>
    </w:p>
    <w:p w:rsidR="00CB437E" w:rsidRPr="00090CDE" w:rsidRDefault="00102CDA" w:rsidP="00CB437E">
      <w:pPr>
        <w:spacing w:after="0" w:line="240" w:lineRule="auto"/>
        <w:ind w:firstLine="720"/>
        <w:rPr>
          <w:sz w:val="28"/>
          <w:szCs w:val="28"/>
        </w:rPr>
      </w:pPr>
      <w:r w:rsidRPr="00090CDE">
        <w:rPr>
          <w:sz w:val="28"/>
          <w:szCs w:val="28"/>
        </w:rPr>
        <w:t xml:space="preserve">Vienlaikus noskaidrots, ka attiecībā uz 68 bērniem (4,96%), </w:t>
      </w:r>
      <w:r w:rsidR="00A85520" w:rsidRPr="00090CDE">
        <w:rPr>
          <w:sz w:val="28"/>
          <w:szCs w:val="28"/>
        </w:rPr>
        <w:t>kuru vecāki i</w:t>
      </w:r>
      <w:r w:rsidRPr="00090CDE">
        <w:rPr>
          <w:sz w:val="28"/>
          <w:szCs w:val="28"/>
        </w:rPr>
        <w:t>r nepilngadīgi, bāriņtiesas 2015</w:t>
      </w:r>
      <w:r w:rsidR="00A85520" w:rsidRPr="00090CDE">
        <w:rPr>
          <w:sz w:val="28"/>
          <w:szCs w:val="28"/>
        </w:rPr>
        <w:t xml:space="preserve">.gadā pieņēmušas lēmumu par ārpusģimenes aprūpi, ņemot vērā, ka </w:t>
      </w:r>
      <w:r w:rsidRPr="00090CDE">
        <w:rPr>
          <w:sz w:val="28"/>
          <w:szCs w:val="28"/>
        </w:rPr>
        <w:t xml:space="preserve">šiem </w:t>
      </w:r>
      <w:r w:rsidR="00A85520" w:rsidRPr="00090CDE">
        <w:rPr>
          <w:sz w:val="28"/>
          <w:szCs w:val="28"/>
        </w:rPr>
        <w:t>bērniem</w:t>
      </w:r>
      <w:r w:rsidRPr="00090CDE">
        <w:rPr>
          <w:sz w:val="28"/>
          <w:szCs w:val="28"/>
        </w:rPr>
        <w:t xml:space="preserve"> bija</w:t>
      </w:r>
      <w:r w:rsidR="00A85520" w:rsidRPr="00090CDE">
        <w:rPr>
          <w:sz w:val="28"/>
          <w:szCs w:val="28"/>
        </w:rPr>
        <w:t xml:space="preserve"> nepieciešama likumiskās pārstāvības</w:t>
      </w:r>
      <w:r w:rsidRPr="00090CDE">
        <w:rPr>
          <w:sz w:val="28"/>
          <w:szCs w:val="28"/>
        </w:rPr>
        <w:t xml:space="preserve"> nodrošināšana. Salīdzinoši 2014</w:t>
      </w:r>
      <w:r w:rsidR="00A85520" w:rsidRPr="00090CDE">
        <w:rPr>
          <w:sz w:val="28"/>
          <w:szCs w:val="28"/>
        </w:rPr>
        <w:t>.gadā minē</w:t>
      </w:r>
      <w:r w:rsidRPr="00090CDE">
        <w:rPr>
          <w:sz w:val="28"/>
          <w:szCs w:val="28"/>
        </w:rPr>
        <w:t>tā satura lēmums pieņemts par 74</w:t>
      </w:r>
      <w:r w:rsidR="00A85520" w:rsidRPr="00090CDE">
        <w:rPr>
          <w:sz w:val="28"/>
          <w:szCs w:val="28"/>
        </w:rPr>
        <w:t xml:space="preserve"> bērniem, kuru vecāki ir nepilngadī</w:t>
      </w:r>
      <w:r w:rsidR="00C0322D" w:rsidRPr="00090CDE">
        <w:rPr>
          <w:sz w:val="28"/>
          <w:szCs w:val="28"/>
        </w:rPr>
        <w:t>gi.</w:t>
      </w:r>
    </w:p>
    <w:p w:rsidR="00CB437E" w:rsidRPr="00090CDE" w:rsidRDefault="00A85520" w:rsidP="00CB437E">
      <w:pPr>
        <w:spacing w:after="0" w:line="240" w:lineRule="auto"/>
        <w:ind w:firstLine="720"/>
        <w:rPr>
          <w:sz w:val="28"/>
          <w:szCs w:val="28"/>
        </w:rPr>
      </w:pPr>
      <w:r w:rsidRPr="00090CDE">
        <w:rPr>
          <w:sz w:val="28"/>
          <w:szCs w:val="28"/>
        </w:rPr>
        <w:t>Tāpat konstat</w:t>
      </w:r>
      <w:r w:rsidR="00CB437E" w:rsidRPr="00090CDE">
        <w:rPr>
          <w:sz w:val="28"/>
          <w:szCs w:val="28"/>
        </w:rPr>
        <w:t>ēts, ka 37 bērniem jeb 2,63</w:t>
      </w:r>
      <w:r w:rsidRPr="00090CDE">
        <w:rPr>
          <w:sz w:val="28"/>
          <w:szCs w:val="28"/>
        </w:rPr>
        <w:t xml:space="preserve">% bērnu ārpusģimenes aprūpe nodrošināta, jo viņu vecāki nav spējuši realizēt bērnu aprūpi savas slimības dēļ. Salīdzinoši </w:t>
      </w:r>
      <w:r w:rsidR="00CB437E" w:rsidRPr="00090CDE">
        <w:rPr>
          <w:sz w:val="28"/>
          <w:szCs w:val="28"/>
        </w:rPr>
        <w:t xml:space="preserve">2014.gadā ārpusģimenes aprūpe nodrošināta </w:t>
      </w:r>
      <w:r w:rsidR="00023CF0" w:rsidRPr="00090CDE">
        <w:rPr>
          <w:sz w:val="28"/>
          <w:szCs w:val="28"/>
        </w:rPr>
        <w:t>31 bērnam jeb 1,99% bērnu, kuru vecāki slimības dēļ nespēj pienācīgi aprūpēt un uzraudzīt bērnu. Savukārt 2013.gadā- 3,5% bērnu nodrošināta ārpusģimenes aprūpe šī iemesla dēļ.</w:t>
      </w:r>
    </w:p>
    <w:p w:rsidR="00AC46BE" w:rsidRPr="00090CDE" w:rsidRDefault="00AC46BE" w:rsidP="00AC46BE">
      <w:pPr>
        <w:spacing w:after="0" w:line="240" w:lineRule="auto"/>
        <w:ind w:firstLine="720"/>
        <w:rPr>
          <w:sz w:val="28"/>
          <w:szCs w:val="28"/>
        </w:rPr>
      </w:pPr>
      <w:r w:rsidRPr="00090CDE">
        <w:rPr>
          <w:sz w:val="28"/>
          <w:szCs w:val="28"/>
        </w:rPr>
        <w:t xml:space="preserve">Analogi kā iepriekšējā gadā procentuāli neliels ir to bērnu skaits, kuriem ārpusģimenes aprūpe nodrošināta dēļ būtiskām domstarpībām bērna un vecāka attiecībās, proti, 4 bērniem jeb 0,28% bērnu. Konstatēts, ka tikai vienā gadījumā, proti, 1 bērnam ārpusģimenes aprūpe nodrošināta tā iemesla dēļ, ka viņa vecāks ir pazudis vai izsludināts meklēšanā. </w:t>
      </w:r>
    </w:p>
    <w:p w:rsidR="00AC46BE" w:rsidRPr="00090CDE" w:rsidRDefault="00AC46BE" w:rsidP="00CB437E">
      <w:pPr>
        <w:spacing w:after="0" w:line="240" w:lineRule="auto"/>
        <w:ind w:firstLine="720"/>
        <w:rPr>
          <w:sz w:val="28"/>
          <w:szCs w:val="28"/>
        </w:rPr>
      </w:pPr>
      <w:r w:rsidRPr="00090CDE">
        <w:rPr>
          <w:sz w:val="28"/>
          <w:szCs w:val="28"/>
        </w:rPr>
        <w:t xml:space="preserve">Vadoties pēc apkopotās statistiskās informācijas, 71 jeb 5% bērnu iemesli ārpusģimenes aprūpes nodrošināšanai ir citi, kas detalizētāk nav atspoguļoti, jo to neparedz bāriņtiesas pārskatu veidlapa. </w:t>
      </w:r>
    </w:p>
    <w:p w:rsidR="00CB437E" w:rsidRPr="00090CDE" w:rsidRDefault="00CB437E" w:rsidP="00AC46BE">
      <w:pPr>
        <w:spacing w:after="0" w:line="240" w:lineRule="auto"/>
        <w:rPr>
          <w:sz w:val="28"/>
          <w:szCs w:val="28"/>
        </w:rPr>
      </w:pPr>
    </w:p>
    <w:p w:rsidR="008F2E02" w:rsidRPr="00090CDE" w:rsidRDefault="008F2E02" w:rsidP="00AA7C26">
      <w:pPr>
        <w:tabs>
          <w:tab w:val="num" w:pos="1080"/>
        </w:tabs>
        <w:spacing w:after="0" w:line="240" w:lineRule="auto"/>
        <w:jc w:val="right"/>
        <w:rPr>
          <w:b/>
          <w:bCs/>
          <w:sz w:val="26"/>
          <w:szCs w:val="26"/>
        </w:rPr>
      </w:pPr>
      <w:r w:rsidRPr="00090CDE">
        <w:rPr>
          <w:b/>
          <w:bCs/>
          <w:sz w:val="26"/>
          <w:szCs w:val="26"/>
        </w:rPr>
        <w:t>14.diagramma</w:t>
      </w:r>
    </w:p>
    <w:p w:rsidR="008F2E02" w:rsidRPr="00090CDE" w:rsidRDefault="008F2E02" w:rsidP="008F2E02">
      <w:pPr>
        <w:spacing w:after="0" w:line="240" w:lineRule="auto"/>
        <w:rPr>
          <w:rFonts w:cs="Times New Roman"/>
          <w:sz w:val="28"/>
          <w:szCs w:val="28"/>
        </w:rPr>
      </w:pPr>
    </w:p>
    <w:p w:rsidR="00437B87" w:rsidRPr="00090CDE" w:rsidRDefault="003A24B4" w:rsidP="00AA7C26">
      <w:pPr>
        <w:spacing w:after="0"/>
        <w:jc w:val="center"/>
        <w:rPr>
          <w:rFonts w:cs="Times New Roman"/>
          <w:sz w:val="28"/>
          <w:szCs w:val="28"/>
        </w:rPr>
      </w:pPr>
      <w:r w:rsidRPr="00090CDE">
        <w:rPr>
          <w:noProof/>
          <w:lang w:val="en-GB" w:eastAsia="en-GB"/>
        </w:rPr>
        <w:drawing>
          <wp:inline distT="0" distB="0" distL="0" distR="0" wp14:anchorId="687602F8" wp14:editId="125CDD7B">
            <wp:extent cx="5690681" cy="2995930"/>
            <wp:effectExtent l="0" t="0" r="5715" b="1397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A24B4" w:rsidRPr="00090CDE" w:rsidRDefault="003A24B4" w:rsidP="00B90326">
      <w:pPr>
        <w:spacing w:after="0"/>
        <w:rPr>
          <w:rFonts w:cs="Times New Roman"/>
          <w:sz w:val="28"/>
          <w:szCs w:val="28"/>
        </w:rPr>
      </w:pPr>
    </w:p>
    <w:p w:rsidR="00565661" w:rsidRPr="00090CDE" w:rsidRDefault="008E2FCB" w:rsidP="00565661">
      <w:pPr>
        <w:pStyle w:val="Heading2"/>
        <w:rPr>
          <w:rFonts w:eastAsia="Times New Roman"/>
          <w:lang w:eastAsia="lv-LV"/>
        </w:rPr>
      </w:pPr>
      <w:bookmarkStart w:id="12" w:name="_Toc455138990"/>
      <w:r w:rsidRPr="00090CDE">
        <w:lastRenderedPageBreak/>
        <w:t>3</w:t>
      </w:r>
      <w:r w:rsidR="00565661" w:rsidRPr="00090CDE">
        <w:t>.4.</w:t>
      </w:r>
      <w:r w:rsidR="00565661" w:rsidRPr="00090CDE">
        <w:rPr>
          <w:rFonts w:eastAsia="Times New Roman"/>
          <w:lang w:eastAsia="lv-LV"/>
        </w:rPr>
        <w:t xml:space="preserve"> Ārpusģimenes aprūpē esoša bērna saskarsme ar vecākiem un citām personām pārskata gadā</w:t>
      </w:r>
      <w:bookmarkEnd w:id="12"/>
    </w:p>
    <w:p w:rsidR="00437B87" w:rsidRPr="00090CDE" w:rsidRDefault="00437B87" w:rsidP="00565661">
      <w:pPr>
        <w:pStyle w:val="Heading2"/>
        <w:rPr>
          <w:sz w:val="16"/>
          <w:szCs w:val="16"/>
        </w:rPr>
      </w:pPr>
    </w:p>
    <w:p w:rsidR="005740B0" w:rsidRPr="002C77B3" w:rsidRDefault="008F64F3" w:rsidP="005740B0">
      <w:pPr>
        <w:spacing w:after="0"/>
        <w:ind w:firstLine="720"/>
        <w:rPr>
          <w:rFonts w:eastAsia="Times New Roman" w:cs="Times New Roman"/>
          <w:bCs/>
          <w:sz w:val="28"/>
          <w:szCs w:val="28"/>
          <w:lang w:eastAsia="lv-LV"/>
        </w:rPr>
      </w:pPr>
      <w:r w:rsidRPr="002C77B3">
        <w:rPr>
          <w:sz w:val="28"/>
          <w:szCs w:val="28"/>
        </w:rPr>
        <w:t xml:space="preserve">Atbilstoši </w:t>
      </w:r>
      <w:r w:rsidR="005740B0" w:rsidRPr="002C77B3">
        <w:rPr>
          <w:rFonts w:eastAsia="Times New Roman" w:cs="Times New Roman"/>
          <w:sz w:val="28"/>
          <w:szCs w:val="28"/>
          <w:lang w:eastAsia="lv-LV"/>
        </w:rPr>
        <w:t>Civillikuma 1</w:t>
      </w:r>
      <w:r w:rsidR="005740B0" w:rsidRPr="002C77B3">
        <w:rPr>
          <w:rFonts w:eastAsia="Times New Roman" w:cs="Times New Roman"/>
          <w:bCs/>
          <w:sz w:val="28"/>
          <w:szCs w:val="28"/>
          <w:lang w:eastAsia="lv-LV"/>
        </w:rPr>
        <w:t xml:space="preserve">81.pantā </w:t>
      </w:r>
      <w:r w:rsidR="005740B0" w:rsidRPr="002C77B3">
        <w:rPr>
          <w:rFonts w:eastAsia="Times New Roman" w:cs="Times New Roman"/>
          <w:sz w:val="28"/>
          <w:szCs w:val="28"/>
          <w:lang w:eastAsia="lv-LV"/>
        </w:rPr>
        <w:t xml:space="preserve">noteiktajam, katram vecākam ir pienākums un tiesības uzturēt personiskas attiecības un tiešus kontaktus ar bērnu. </w:t>
      </w:r>
      <w:r w:rsidRPr="002C77B3">
        <w:rPr>
          <w:sz w:val="28"/>
          <w:szCs w:val="28"/>
        </w:rPr>
        <w:t xml:space="preserve">Šis noteikums piemērojams arī tad, ja bērns ir </w:t>
      </w:r>
      <w:r w:rsidR="005740B0" w:rsidRPr="002C77B3">
        <w:rPr>
          <w:sz w:val="28"/>
          <w:szCs w:val="28"/>
        </w:rPr>
        <w:t xml:space="preserve">šķirts no ģimenes vai nedzīvo kopā ar abiem vecākiem. </w:t>
      </w:r>
      <w:r w:rsidR="005740B0" w:rsidRPr="002C77B3">
        <w:rPr>
          <w:rFonts w:eastAsia="Times New Roman" w:cs="Times New Roman"/>
          <w:sz w:val="28"/>
          <w:szCs w:val="28"/>
          <w:lang w:eastAsia="lv-LV"/>
        </w:rPr>
        <w:t>Minētā panta pirmajā daļā likumdevējs ir īpaši akcentējis bērna tiesības (nevis pienākumu) uzturēt personiskas attiecības un tiešus kontaktus ar jebkuru no vecākiem (saskarsmes tiesība). Civillikuma 1</w:t>
      </w:r>
      <w:r w:rsidR="005740B0" w:rsidRPr="002C77B3">
        <w:rPr>
          <w:rFonts w:eastAsia="Times New Roman" w:cs="Times New Roman"/>
          <w:bCs/>
          <w:sz w:val="28"/>
          <w:szCs w:val="28"/>
          <w:lang w:eastAsia="lv-LV"/>
        </w:rPr>
        <w:t>81.panta trešajā daļā paredzēts, ka bērnam ir tiesības uztirēt personiskas atti</w:t>
      </w:r>
      <w:r w:rsidR="00DD6D19" w:rsidRPr="002C77B3">
        <w:rPr>
          <w:rFonts w:eastAsia="Times New Roman" w:cs="Times New Roman"/>
          <w:bCs/>
          <w:sz w:val="28"/>
          <w:szCs w:val="28"/>
          <w:lang w:eastAsia="lv-LV"/>
        </w:rPr>
        <w:t>ecības un tiešus kontktus arī ar</w:t>
      </w:r>
      <w:r w:rsidR="005740B0" w:rsidRPr="002C77B3">
        <w:rPr>
          <w:rFonts w:eastAsia="Times New Roman" w:cs="Times New Roman"/>
          <w:bCs/>
          <w:sz w:val="28"/>
          <w:szCs w:val="28"/>
          <w:lang w:eastAsia="lv-LV"/>
        </w:rPr>
        <w:t xml:space="preserve"> brāļiem, māsām un vecvecākiem, kā arī citām personām, ar kurām bērns ilgu laiku ir dzīvojis nedalītā saimniecībā, ja tas atbilst bērna interesēm (saskarsmes tiesība). </w:t>
      </w:r>
    </w:p>
    <w:p w:rsidR="00D57180" w:rsidRPr="00090CDE" w:rsidRDefault="008F64F3" w:rsidP="00D57180">
      <w:pPr>
        <w:spacing w:after="0"/>
        <w:ind w:firstLine="720"/>
        <w:rPr>
          <w:sz w:val="28"/>
          <w:szCs w:val="28"/>
        </w:rPr>
      </w:pPr>
      <w:r w:rsidRPr="00090CDE">
        <w:rPr>
          <w:sz w:val="28"/>
          <w:szCs w:val="28"/>
        </w:rPr>
        <w:t>Aizbildņa un audžuģimenes pienākums ir veicināt un atbalstīt bērna un vecāka attiecību uzturēšanu laika periodā, kamēr bērns ir šķirts no ģimenes</w:t>
      </w:r>
      <w:r w:rsidR="00D57180" w:rsidRPr="00090CDE">
        <w:rPr>
          <w:sz w:val="28"/>
          <w:szCs w:val="28"/>
        </w:rPr>
        <w:t xml:space="preserve"> (tajā skaitā organizēt vecāka un bērna tikšanos), ja vien bāriņtiesa nav pieņēmusi lēmumu bērna interesēs par aizliegumu vecākam tikties ar bērnu. Proti, atbilstoši Bērnu tiesību aizsardzības likuma 33.panta regulējumam bērnam, kas nodots aizbildnībā</w:t>
      </w:r>
      <w:r w:rsidR="00ED48F0" w:rsidRPr="00090CDE">
        <w:rPr>
          <w:sz w:val="28"/>
          <w:szCs w:val="28"/>
        </w:rPr>
        <w:t xml:space="preserve"> vai audžuģimenē vai ievietots bērnu aprūpes iestādē, </w:t>
      </w:r>
      <w:r w:rsidR="00D57180" w:rsidRPr="00090CDE">
        <w:rPr>
          <w:sz w:val="28"/>
          <w:szCs w:val="28"/>
        </w:rPr>
        <w:t xml:space="preserve"> ir tiesības uzturēt personiskas attiecības un tiešus kontaktus ar vecākiem, </w:t>
      </w:r>
      <w:r w:rsidR="00ED48F0" w:rsidRPr="00090CDE">
        <w:rPr>
          <w:sz w:val="28"/>
          <w:szCs w:val="28"/>
        </w:rPr>
        <w:t>kā arī ar brāļiem, māsām, vecvecākiem un personām, ar kurām bērns ilgu laiku ir dzīvojis nedalītā saimniecībā, izņemot gadījumus, kad tas</w:t>
      </w:r>
      <w:r w:rsidR="00D57180" w:rsidRPr="00090CDE">
        <w:rPr>
          <w:sz w:val="28"/>
          <w:szCs w:val="28"/>
        </w:rPr>
        <w:t xml:space="preserve"> kaitē bērna veselībai, attīstībai un drošībai vai rada draudus aizbildņiem,</w:t>
      </w:r>
      <w:r w:rsidR="00ED48F0" w:rsidRPr="00090CDE">
        <w:rPr>
          <w:sz w:val="28"/>
          <w:szCs w:val="28"/>
        </w:rPr>
        <w:t xml:space="preserve"> audžuģimenēm, bērnu aprūpes iestāžu darbiniekiem vai citiem bērniem</w:t>
      </w:r>
      <w:r w:rsidR="00D57180" w:rsidRPr="00090CDE">
        <w:rPr>
          <w:sz w:val="28"/>
          <w:szCs w:val="28"/>
        </w:rPr>
        <w:t xml:space="preserve"> un bāriņtiesa savas kompetences ietvaros pieņēmusi lēmumu par personisku attiecību un tiešu kontaktu uzturēšanas tiesību ierobežošanu, kā to paredz minētā likuma 33.panta otrajā daļā un Bāriņtiesu likuma 39.panta trešajā daļā noteiktais.</w:t>
      </w:r>
    </w:p>
    <w:p w:rsidR="004645AE" w:rsidRPr="00090CDE" w:rsidRDefault="004645AE" w:rsidP="001D17BE">
      <w:pPr>
        <w:tabs>
          <w:tab w:val="num" w:pos="1080"/>
        </w:tabs>
        <w:spacing w:after="0" w:line="240" w:lineRule="auto"/>
        <w:jc w:val="right"/>
        <w:rPr>
          <w:b/>
          <w:bCs/>
          <w:sz w:val="26"/>
          <w:szCs w:val="26"/>
        </w:rPr>
      </w:pPr>
    </w:p>
    <w:p w:rsidR="00A76B4F" w:rsidRPr="00090CDE" w:rsidRDefault="00D642C7" w:rsidP="00D642C7">
      <w:pPr>
        <w:tabs>
          <w:tab w:val="num" w:pos="1080"/>
        </w:tabs>
        <w:spacing w:after="0" w:line="240" w:lineRule="auto"/>
        <w:jc w:val="right"/>
        <w:rPr>
          <w:b/>
          <w:bCs/>
          <w:sz w:val="26"/>
          <w:szCs w:val="26"/>
        </w:rPr>
      </w:pPr>
      <w:r w:rsidRPr="00090CDE">
        <w:rPr>
          <w:b/>
          <w:bCs/>
          <w:sz w:val="26"/>
          <w:szCs w:val="26"/>
        </w:rPr>
        <w:t>15.diagramma</w:t>
      </w:r>
    </w:p>
    <w:p w:rsidR="00D642C7" w:rsidRPr="00090CDE" w:rsidRDefault="00D642C7" w:rsidP="00D642C7">
      <w:pPr>
        <w:tabs>
          <w:tab w:val="num" w:pos="1080"/>
        </w:tabs>
        <w:spacing w:after="0" w:line="240" w:lineRule="auto"/>
        <w:jc w:val="right"/>
        <w:rPr>
          <w:b/>
          <w:bCs/>
          <w:sz w:val="26"/>
          <w:szCs w:val="26"/>
        </w:rPr>
      </w:pPr>
    </w:p>
    <w:p w:rsidR="00A76B4F" w:rsidRPr="00090CDE" w:rsidRDefault="00A76B4F" w:rsidP="00950D9E">
      <w:pPr>
        <w:spacing w:after="0"/>
        <w:ind w:firstLine="720"/>
        <w:jc w:val="center"/>
        <w:rPr>
          <w:bCs/>
          <w:sz w:val="28"/>
          <w:szCs w:val="28"/>
        </w:rPr>
      </w:pPr>
      <w:r w:rsidRPr="00090CDE">
        <w:rPr>
          <w:noProof/>
          <w:lang w:val="en-GB" w:eastAsia="en-GB"/>
        </w:rPr>
        <w:drawing>
          <wp:inline distT="0" distB="0" distL="0" distR="0" wp14:anchorId="0FA9750E" wp14:editId="72FC447E">
            <wp:extent cx="4609290" cy="2743200"/>
            <wp:effectExtent l="0" t="0" r="127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76B4F" w:rsidRPr="00090CDE" w:rsidRDefault="00A76B4F" w:rsidP="003555E1">
      <w:pPr>
        <w:spacing w:after="0"/>
        <w:ind w:firstLine="720"/>
        <w:rPr>
          <w:bCs/>
          <w:sz w:val="28"/>
          <w:szCs w:val="28"/>
        </w:rPr>
      </w:pPr>
    </w:p>
    <w:p w:rsidR="007C7437" w:rsidRPr="00090CDE" w:rsidRDefault="003555E1" w:rsidP="003555E1">
      <w:pPr>
        <w:spacing w:after="0"/>
        <w:ind w:firstLine="720"/>
        <w:rPr>
          <w:bCs/>
          <w:sz w:val="28"/>
          <w:szCs w:val="28"/>
        </w:rPr>
      </w:pPr>
      <w:r w:rsidRPr="00090CDE">
        <w:rPr>
          <w:bCs/>
          <w:sz w:val="28"/>
          <w:szCs w:val="28"/>
        </w:rPr>
        <w:lastRenderedPageBreak/>
        <w:t xml:space="preserve">Apkopojot bāriņtiesu rīcībā esošos statistikas datus, konstatēts, ka minētā satura lēmums </w:t>
      </w:r>
      <w:r w:rsidR="00950D9E" w:rsidRPr="00090CDE">
        <w:rPr>
          <w:bCs/>
          <w:sz w:val="28"/>
          <w:szCs w:val="28"/>
        </w:rPr>
        <w:t>2015</w:t>
      </w:r>
      <w:r w:rsidR="007A7AD9" w:rsidRPr="00090CDE">
        <w:rPr>
          <w:bCs/>
          <w:sz w:val="28"/>
          <w:szCs w:val="28"/>
        </w:rPr>
        <w:t>.gadā analogi kā iepriekšējā gadā pieņemts</w:t>
      </w:r>
      <w:r w:rsidR="007C7437" w:rsidRPr="00090CDE">
        <w:rPr>
          <w:bCs/>
          <w:sz w:val="28"/>
          <w:szCs w:val="28"/>
        </w:rPr>
        <w:t xml:space="preserve"> principā</w:t>
      </w:r>
      <w:r w:rsidR="007A7AD9" w:rsidRPr="00090CDE">
        <w:rPr>
          <w:bCs/>
          <w:sz w:val="28"/>
          <w:szCs w:val="28"/>
        </w:rPr>
        <w:t xml:space="preserve"> pārsvarā attiecībā uz vecākiem, </w:t>
      </w:r>
      <w:r w:rsidR="00223FF2">
        <w:rPr>
          <w:bCs/>
          <w:sz w:val="28"/>
          <w:szCs w:val="28"/>
        </w:rPr>
        <w:t xml:space="preserve">respektīvi, 26 </w:t>
      </w:r>
      <w:r w:rsidR="000C498A">
        <w:rPr>
          <w:bCs/>
          <w:sz w:val="28"/>
          <w:szCs w:val="28"/>
        </w:rPr>
        <w:t>gadījumos</w:t>
      </w:r>
      <w:r w:rsidR="007A7AD9" w:rsidRPr="00090CDE">
        <w:rPr>
          <w:bCs/>
          <w:sz w:val="28"/>
          <w:szCs w:val="28"/>
        </w:rPr>
        <w:t xml:space="preserve"> bāri</w:t>
      </w:r>
      <w:r w:rsidR="00C65193" w:rsidRPr="00090CDE">
        <w:rPr>
          <w:bCs/>
          <w:sz w:val="28"/>
          <w:szCs w:val="28"/>
        </w:rPr>
        <w:t>ņtiesa, izvērtējot lietas apstākļus, secinājusi, ka personisku attiecību un kontaktu uzturēšana vecākam ar bērnu ir neatbilstoša bērna interesēm.</w:t>
      </w:r>
      <w:r w:rsidR="007C7437" w:rsidRPr="00090CDE">
        <w:rPr>
          <w:bCs/>
          <w:sz w:val="28"/>
          <w:szCs w:val="28"/>
        </w:rPr>
        <w:t xml:space="preserve"> </w:t>
      </w:r>
      <w:r w:rsidR="00C65193" w:rsidRPr="00090CDE">
        <w:rPr>
          <w:bCs/>
          <w:sz w:val="28"/>
          <w:szCs w:val="28"/>
        </w:rPr>
        <w:t xml:space="preserve"> </w:t>
      </w:r>
      <w:r w:rsidR="007C7437" w:rsidRPr="00090CDE">
        <w:rPr>
          <w:bCs/>
          <w:sz w:val="28"/>
          <w:szCs w:val="28"/>
        </w:rPr>
        <w:t>Salīdzinoši 2014.gadā šāds lēmums attiecībā uz vecākiem pieņemts 31, bet 2013.gadā- 47 gadījumos.</w:t>
      </w:r>
    </w:p>
    <w:p w:rsidR="007C7437" w:rsidRPr="00090CDE" w:rsidRDefault="007C7437" w:rsidP="00A20220">
      <w:pPr>
        <w:spacing w:after="0"/>
        <w:ind w:firstLine="720"/>
        <w:rPr>
          <w:bCs/>
          <w:sz w:val="28"/>
          <w:szCs w:val="28"/>
        </w:rPr>
      </w:pPr>
      <w:r w:rsidRPr="00090CDE">
        <w:rPr>
          <w:bCs/>
          <w:sz w:val="28"/>
          <w:szCs w:val="28"/>
        </w:rPr>
        <w:t xml:space="preserve">Vadoties pēc iepriekšējo gadu statistikas datu analīzes, 2013.un 2014.gadā konstatēts neliels  to gadījumu skaits, kad bāriņtiesa ierobežojusi citu tuvu radinieku tiesības uzturēt personiskas attiecības un tiešus kontaktus ar bērnu. Proti, 2013.gadā šāds lēmums pieņemts tikai par 2 personām, savukārt 2014.gadā attiecībā uz 5 personām, kas ir bērna citi radinieki. </w:t>
      </w:r>
      <w:r w:rsidR="00A20220" w:rsidRPr="00090CDE">
        <w:rPr>
          <w:bCs/>
          <w:sz w:val="28"/>
          <w:szCs w:val="28"/>
        </w:rPr>
        <w:t xml:space="preserve">Noskaidrots, ka 2015.gadā bāriņtiesas nav pieņēmušas nevienu lēmumu par personisku attiecību un tiešu kontaktu ierobežošanu tuviem radiniekiem ar ārpusģimenes aprūpē esošu bērnu. </w:t>
      </w:r>
    </w:p>
    <w:p w:rsidR="007A7AD9" w:rsidRPr="00090CDE" w:rsidRDefault="00A70D15" w:rsidP="003555E1">
      <w:pPr>
        <w:spacing w:after="0"/>
        <w:ind w:firstLine="720"/>
        <w:rPr>
          <w:bCs/>
          <w:sz w:val="28"/>
          <w:szCs w:val="28"/>
        </w:rPr>
      </w:pPr>
      <w:r w:rsidRPr="00090CDE">
        <w:rPr>
          <w:bCs/>
          <w:sz w:val="28"/>
          <w:szCs w:val="28"/>
        </w:rPr>
        <w:t xml:space="preserve">Konstatēts, ka bāriņtiesas </w:t>
      </w:r>
      <w:r w:rsidR="00A20220" w:rsidRPr="00090CDE">
        <w:rPr>
          <w:bCs/>
          <w:sz w:val="28"/>
          <w:szCs w:val="28"/>
        </w:rPr>
        <w:t>2013.un 2014.gadā</w:t>
      </w:r>
      <w:r w:rsidRPr="00090CDE">
        <w:rPr>
          <w:bCs/>
          <w:sz w:val="28"/>
          <w:szCs w:val="28"/>
        </w:rPr>
        <w:t xml:space="preserve"> nav lēmušas par personisku attiecību un tiešu kontaktu ierobežošanu bērnam ar citām personām, ar kurām bērns ilgu laiku dzīvojis nedalītā saimniecībā. </w:t>
      </w:r>
      <w:r w:rsidR="00A20220" w:rsidRPr="00090CDE">
        <w:rPr>
          <w:bCs/>
          <w:sz w:val="28"/>
          <w:szCs w:val="28"/>
        </w:rPr>
        <w:t>Savukārt 2015.gadā minētā satura lēmums pieņemts attiecībā uz vienu personu, ar kuru bērns dzīvojis nedalītā saimniecībā.</w:t>
      </w:r>
    </w:p>
    <w:p w:rsidR="00A85520" w:rsidRPr="00090CDE" w:rsidRDefault="00A85520" w:rsidP="00A85520">
      <w:pPr>
        <w:spacing w:after="0"/>
        <w:ind w:firstLine="720"/>
        <w:rPr>
          <w:rFonts w:cs="Times New Roman"/>
          <w:sz w:val="10"/>
          <w:szCs w:val="10"/>
        </w:rPr>
      </w:pPr>
    </w:p>
    <w:p w:rsidR="00A85520" w:rsidRPr="00090CDE" w:rsidRDefault="00A85520" w:rsidP="00A85520">
      <w:pPr>
        <w:spacing w:after="0"/>
        <w:ind w:firstLine="720"/>
        <w:rPr>
          <w:bCs/>
          <w:sz w:val="28"/>
          <w:szCs w:val="28"/>
        </w:rPr>
      </w:pPr>
      <w:r w:rsidRPr="00090CDE">
        <w:rPr>
          <w:rFonts w:cs="Times New Roman"/>
          <w:sz w:val="28"/>
          <w:szCs w:val="28"/>
        </w:rPr>
        <w:t>Inspekcija tajā skaitā</w:t>
      </w:r>
      <w:r w:rsidRPr="00090CDE">
        <w:rPr>
          <w:sz w:val="28"/>
          <w:szCs w:val="28"/>
        </w:rPr>
        <w:t xml:space="preserve"> apkopojusi informāciju par ārpusģimenes aprūpē esošiem bērniem, par kuriem bāriņtiesa pārskata gadā pieņēmusi lēmumu par atļauju bērnam uzturēties pie vecākiem vai brāļiem, māsām, </w:t>
      </w:r>
      <w:r w:rsidRPr="00090CDE">
        <w:rPr>
          <w:bCs/>
          <w:sz w:val="28"/>
          <w:szCs w:val="28"/>
        </w:rPr>
        <w:t xml:space="preserve">vecvecākiem un personām, ar kurām bērns ilgu laiku ir dzīvojis nedalītā saimniecībā atbilstoši Bērnu tiesību aizsardzības likuma 33.panta ceturtajā daļā noteiktajam. Tikai tad, ja bāriņtiesa pieņēmusi šādu lēmumu, institūcijas vadītājs, audžuģimene vai aizbildnis var atļaut bērnam īslaicīgi uzturēties vecāka vai citas personas ģimenē. Pieņemot attiecīgo lēmumu, bāriņtiesai jāgūst pārliecība, ka vecāks vai cita persona </w:t>
      </w:r>
      <w:r w:rsidR="00646154" w:rsidRPr="00090CDE">
        <w:rPr>
          <w:bCs/>
          <w:sz w:val="28"/>
          <w:szCs w:val="28"/>
        </w:rPr>
        <w:t xml:space="preserve">bāriņtiesas lēmumā norādītajā laika posmā </w:t>
      </w:r>
      <w:r w:rsidRPr="00090CDE">
        <w:rPr>
          <w:bCs/>
          <w:sz w:val="28"/>
          <w:szCs w:val="28"/>
        </w:rPr>
        <w:t>spēs nodrošināt pilnvērtī</w:t>
      </w:r>
      <w:r w:rsidR="00646154" w:rsidRPr="00090CDE">
        <w:rPr>
          <w:bCs/>
          <w:sz w:val="28"/>
          <w:szCs w:val="28"/>
        </w:rPr>
        <w:t>gu bērna aprūpi un uzraudzību.</w:t>
      </w:r>
    </w:p>
    <w:p w:rsidR="00ED02F7" w:rsidRPr="00090CDE" w:rsidRDefault="00ED02F7" w:rsidP="002E4347">
      <w:pPr>
        <w:tabs>
          <w:tab w:val="num" w:pos="1080"/>
        </w:tabs>
        <w:spacing w:after="0" w:line="240" w:lineRule="auto"/>
        <w:jc w:val="right"/>
        <w:rPr>
          <w:b/>
          <w:bCs/>
          <w:sz w:val="16"/>
          <w:szCs w:val="16"/>
        </w:rPr>
      </w:pPr>
    </w:p>
    <w:p w:rsidR="00A76B4F" w:rsidRPr="00090CDE" w:rsidRDefault="001A2894" w:rsidP="001A2894">
      <w:pPr>
        <w:tabs>
          <w:tab w:val="num" w:pos="1080"/>
        </w:tabs>
        <w:spacing w:after="0" w:line="240" w:lineRule="auto"/>
        <w:jc w:val="right"/>
        <w:rPr>
          <w:b/>
          <w:bCs/>
          <w:sz w:val="26"/>
          <w:szCs w:val="26"/>
        </w:rPr>
      </w:pPr>
      <w:r w:rsidRPr="00090CDE">
        <w:rPr>
          <w:b/>
          <w:bCs/>
          <w:sz w:val="26"/>
          <w:szCs w:val="26"/>
        </w:rPr>
        <w:t>16.diagramma</w:t>
      </w:r>
    </w:p>
    <w:p w:rsidR="001A2894" w:rsidRPr="00090CDE" w:rsidRDefault="001A2894" w:rsidP="001A2894">
      <w:pPr>
        <w:tabs>
          <w:tab w:val="num" w:pos="1080"/>
        </w:tabs>
        <w:spacing w:after="0" w:line="240" w:lineRule="auto"/>
        <w:jc w:val="right"/>
        <w:rPr>
          <w:b/>
          <w:bCs/>
          <w:sz w:val="26"/>
          <w:szCs w:val="26"/>
        </w:rPr>
      </w:pPr>
    </w:p>
    <w:p w:rsidR="004B7594" w:rsidRPr="00090CDE" w:rsidRDefault="00A76B4F" w:rsidP="00C02553">
      <w:pPr>
        <w:spacing w:after="0"/>
        <w:ind w:firstLine="720"/>
        <w:rPr>
          <w:lang w:eastAsia="lv-LV"/>
        </w:rPr>
      </w:pPr>
      <w:r w:rsidRPr="00090CDE">
        <w:rPr>
          <w:noProof/>
          <w:lang w:val="en-GB" w:eastAsia="en-GB"/>
        </w:rPr>
        <w:drawing>
          <wp:inline distT="0" distB="0" distL="0" distR="0" wp14:anchorId="52DC8EA2" wp14:editId="7258B63D">
            <wp:extent cx="5309870" cy="2568102"/>
            <wp:effectExtent l="0" t="0" r="5080" b="381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B7594" w:rsidRPr="00090CDE" w:rsidRDefault="001A2894" w:rsidP="004F0680">
      <w:pPr>
        <w:spacing w:after="0"/>
        <w:ind w:firstLine="720"/>
        <w:rPr>
          <w:bCs/>
          <w:sz w:val="28"/>
          <w:szCs w:val="28"/>
        </w:rPr>
      </w:pPr>
      <w:r w:rsidRPr="00090CDE">
        <w:rPr>
          <w:bCs/>
          <w:sz w:val="28"/>
          <w:szCs w:val="28"/>
        </w:rPr>
        <w:lastRenderedPageBreak/>
        <w:t>Apkopojot datus, noskaidrots, ka 2015.gadā bāriņtiesas pieņēmušas minētā satura lēmumu kopumā attiecībā uz 421 bērniem, kas ir par 52 bērniem mazāk nekā iepriekšējā gadā. Konstatēts, ka lielākoties, proti, 329 bērniem ar bāriņtiesas lēmumu atļauts uzturēties pie vecākiem, kuriem ir pārtrauktas vai atņemtas aizgādības tiesības. Informācija par bērna īslaicīgu uzturēšanos vecāka ģimenē, proti, vecāka spējām veikt konkrētā laika posmā bērna aprūpes un uzraudzības pienākumus, tajā skaitā vērtējama, lemjot par iespējamo pārtraukto aizgādības tiesību atjaunošanu. Vienlaikus konstatēts, ka 84 bērniem atļauts uzturēties pie citiem tuviem radiniekiem. Analogi kā iepriekšējā gadā nelielam bērnu skaitam, proti, 8 bērniem rasta iespēja uzturēties pie personām, ar kurām bērns ilgu laiku dzīvojis nedalītā saimniecībā. Datu apkopojumu skatīt 16.diagrammā.</w:t>
      </w:r>
    </w:p>
    <w:p w:rsidR="00535AF1" w:rsidRPr="00090CDE" w:rsidRDefault="008E2FCB" w:rsidP="00535AF1">
      <w:pPr>
        <w:pStyle w:val="Heading1"/>
        <w:rPr>
          <w:sz w:val="32"/>
        </w:rPr>
      </w:pPr>
      <w:bookmarkStart w:id="13" w:name="_Toc455138991"/>
      <w:r w:rsidRPr="00090CDE">
        <w:rPr>
          <w:sz w:val="32"/>
        </w:rPr>
        <w:t>4</w:t>
      </w:r>
      <w:r w:rsidR="00251C86" w:rsidRPr="00090CDE">
        <w:rPr>
          <w:sz w:val="32"/>
        </w:rPr>
        <w:t>.</w:t>
      </w:r>
      <w:r w:rsidR="00055410" w:rsidRPr="00090CDE">
        <w:rPr>
          <w:sz w:val="32"/>
        </w:rPr>
        <w:t>P</w:t>
      </w:r>
      <w:r w:rsidRPr="00090CDE">
        <w:rPr>
          <w:sz w:val="32"/>
        </w:rPr>
        <w:t>ārskats par aizbildnības lietām</w:t>
      </w:r>
      <w:bookmarkEnd w:id="13"/>
    </w:p>
    <w:p w:rsidR="00AB6762" w:rsidRPr="00090CDE" w:rsidRDefault="00AB6762" w:rsidP="00AB6762">
      <w:pPr>
        <w:spacing w:after="0" w:line="240" w:lineRule="auto"/>
        <w:rPr>
          <w:sz w:val="16"/>
          <w:szCs w:val="16"/>
        </w:rPr>
      </w:pPr>
    </w:p>
    <w:p w:rsidR="00B8725A" w:rsidRPr="00090CDE" w:rsidRDefault="00535AF1" w:rsidP="003B09B4">
      <w:pPr>
        <w:spacing w:after="0" w:line="240" w:lineRule="auto"/>
        <w:ind w:firstLine="720"/>
        <w:rPr>
          <w:sz w:val="28"/>
          <w:szCs w:val="28"/>
        </w:rPr>
      </w:pPr>
      <w:r w:rsidRPr="00090CDE">
        <w:rPr>
          <w:sz w:val="28"/>
          <w:szCs w:val="28"/>
        </w:rPr>
        <w:t xml:space="preserve">Civillikuma 217.panta pirmā daļa paredz, ka aizbildnību nodibina pār nepilngadīgajiem. Savukārt minētā likuma 222.pantā noteikts, ka bez vecāku aizgādības palikušam bērnam </w:t>
      </w:r>
      <w:r w:rsidRPr="00090CDE">
        <w:rPr>
          <w:i/>
          <w:szCs w:val="24"/>
        </w:rPr>
        <w:t>(bērns, kura vecāki nav zināmi, ir pazuduši vai ilgstošas slimības dēļ nespēj realizēt aizgādību vai kura vecākiem pārtrauktas vai atņemtas aizgādības tiesības)</w:t>
      </w:r>
      <w:r w:rsidR="00B8725A" w:rsidRPr="00090CDE">
        <w:rPr>
          <w:sz w:val="28"/>
          <w:szCs w:val="28"/>
        </w:rPr>
        <w:t xml:space="preserve"> ieceļams aizbildnis. Aizbildnis ir bērna likumiskais pārstāvis, kura pienākums ir primāri nodrošināt bērna tiesību un interešu aizsardzību. Aizbildnis aizvieto savam aizbilstamajam vecākus, atbalsta bērnu, sevišķi gādā par viņa audzināšanu, kā arī pārstāv bērna personiskās un mantiskās intereses.</w:t>
      </w:r>
    </w:p>
    <w:p w:rsidR="00454749" w:rsidRPr="00090CDE" w:rsidRDefault="00BA20C8" w:rsidP="003B09B4">
      <w:pPr>
        <w:spacing w:after="0" w:line="240" w:lineRule="auto"/>
        <w:ind w:firstLine="720"/>
        <w:rPr>
          <w:sz w:val="28"/>
          <w:szCs w:val="28"/>
        </w:rPr>
      </w:pPr>
      <w:r w:rsidRPr="00090CDE">
        <w:rPr>
          <w:sz w:val="28"/>
          <w:szCs w:val="28"/>
        </w:rPr>
        <w:t>Bāriņtiesu likuma 26.pantā precizēti gadījumi, kuros bāri</w:t>
      </w:r>
      <w:r w:rsidR="00BA5069" w:rsidRPr="00090CDE">
        <w:rPr>
          <w:sz w:val="28"/>
          <w:szCs w:val="28"/>
        </w:rPr>
        <w:t>ņtiesa</w:t>
      </w:r>
      <w:r w:rsidRPr="00090CDE">
        <w:rPr>
          <w:sz w:val="28"/>
          <w:szCs w:val="28"/>
        </w:rPr>
        <w:t xml:space="preserve"> savu pilnvaru ietvaros </w:t>
      </w:r>
      <w:r w:rsidR="00BA5069" w:rsidRPr="00090CDE">
        <w:rPr>
          <w:sz w:val="28"/>
          <w:szCs w:val="28"/>
        </w:rPr>
        <w:t>lemj</w:t>
      </w:r>
      <w:r w:rsidRPr="00090CDE">
        <w:rPr>
          <w:sz w:val="28"/>
          <w:szCs w:val="28"/>
        </w:rPr>
        <w:t xml:space="preserve"> par aizbildnības nodibināšanu un aizbildņa iecelšan</w:t>
      </w:r>
      <w:r w:rsidR="00454749" w:rsidRPr="00090CDE">
        <w:rPr>
          <w:sz w:val="28"/>
          <w:szCs w:val="28"/>
        </w:rPr>
        <w:t>u bērnam:</w:t>
      </w:r>
    </w:p>
    <w:p w:rsidR="00454749" w:rsidRPr="00090CDE" w:rsidRDefault="00454749" w:rsidP="003B09B4">
      <w:pPr>
        <w:spacing w:after="0" w:line="240" w:lineRule="auto"/>
        <w:ind w:firstLine="720"/>
        <w:rPr>
          <w:szCs w:val="24"/>
        </w:rPr>
      </w:pPr>
      <w:r w:rsidRPr="00090CDE">
        <w:rPr>
          <w:szCs w:val="24"/>
        </w:rPr>
        <w:t>- bērna vecāki ir miruši vai izsludināti par mirušiem;</w:t>
      </w:r>
    </w:p>
    <w:p w:rsidR="00454749" w:rsidRPr="00090CDE" w:rsidRDefault="00454749" w:rsidP="003B09B4">
      <w:pPr>
        <w:spacing w:after="0" w:line="240" w:lineRule="auto"/>
        <w:ind w:firstLine="720"/>
        <w:rPr>
          <w:szCs w:val="24"/>
        </w:rPr>
      </w:pPr>
      <w:r w:rsidRPr="00090CDE">
        <w:rPr>
          <w:szCs w:val="24"/>
        </w:rPr>
        <w:t>- bērna vecākiem ir pārtrauktas vai atņemtas aizgādības tiesības;</w:t>
      </w:r>
    </w:p>
    <w:p w:rsidR="00454749" w:rsidRPr="00090CDE" w:rsidRDefault="00454749" w:rsidP="003B09B4">
      <w:pPr>
        <w:spacing w:after="0" w:line="240" w:lineRule="auto"/>
        <w:ind w:firstLine="720"/>
        <w:rPr>
          <w:szCs w:val="24"/>
        </w:rPr>
      </w:pPr>
      <w:r w:rsidRPr="00090CDE">
        <w:rPr>
          <w:szCs w:val="24"/>
        </w:rPr>
        <w:t>- bērna vecāki ir pazuduši un izsludināti meklēšanā;</w:t>
      </w:r>
    </w:p>
    <w:p w:rsidR="00454749" w:rsidRPr="00090CDE" w:rsidRDefault="00454749" w:rsidP="003B09B4">
      <w:pPr>
        <w:spacing w:after="0" w:line="240" w:lineRule="auto"/>
        <w:ind w:firstLine="720"/>
        <w:rPr>
          <w:szCs w:val="24"/>
        </w:rPr>
      </w:pPr>
      <w:r w:rsidRPr="00090CDE">
        <w:rPr>
          <w:szCs w:val="24"/>
        </w:rPr>
        <w:t>- bērna vecāki slimības dēļ nespēj pienācīgi aprūpēt un uzraudzīt bērnu;</w:t>
      </w:r>
    </w:p>
    <w:p w:rsidR="00454749" w:rsidRPr="00090CDE" w:rsidRDefault="00454749" w:rsidP="003B09B4">
      <w:pPr>
        <w:spacing w:after="0" w:line="240" w:lineRule="auto"/>
        <w:ind w:firstLine="720"/>
        <w:rPr>
          <w:szCs w:val="24"/>
        </w:rPr>
      </w:pPr>
      <w:r w:rsidRPr="00090CDE">
        <w:rPr>
          <w:szCs w:val="24"/>
        </w:rPr>
        <w:t>- abi bērna vecāki ir nepilngadīgi;</w:t>
      </w:r>
    </w:p>
    <w:p w:rsidR="00454749" w:rsidRPr="00090CDE" w:rsidRDefault="00454749" w:rsidP="00454749">
      <w:pPr>
        <w:spacing w:after="0" w:line="240" w:lineRule="auto"/>
        <w:ind w:firstLine="720"/>
        <w:rPr>
          <w:szCs w:val="24"/>
        </w:rPr>
      </w:pPr>
      <w:r w:rsidRPr="00090CDE">
        <w:rPr>
          <w:szCs w:val="24"/>
        </w:rPr>
        <w:t>- radušies citi neatliekami gadījumi (nodrošinot normatīvajos aktos noteikto prasību ievērošanu)</w:t>
      </w:r>
      <w:r w:rsidR="00106DBB" w:rsidRPr="00090CDE">
        <w:rPr>
          <w:szCs w:val="24"/>
        </w:rPr>
        <w:t>.</w:t>
      </w:r>
    </w:p>
    <w:p w:rsidR="00761E56" w:rsidRPr="00090CDE" w:rsidRDefault="00761E56" w:rsidP="003B09B4">
      <w:pPr>
        <w:spacing w:after="0" w:line="240" w:lineRule="auto"/>
        <w:ind w:firstLine="720"/>
        <w:rPr>
          <w:sz w:val="28"/>
          <w:szCs w:val="28"/>
        </w:rPr>
      </w:pPr>
      <w:r w:rsidRPr="00090CDE">
        <w:rPr>
          <w:sz w:val="28"/>
          <w:szCs w:val="28"/>
        </w:rPr>
        <w:t xml:space="preserve">Atbilstoši Civillikuma un Bāriņtiesu likuma normām, kas regulē aizbildņa iecelšanas kārtību, bāriņtiesas pienākums ir pārliecināties, vai par aizbildni ieceļamajai personai ir aizbildņa pienākumu pildīšanai nepieciešamās spējas un īpašības. Bāriņtiesa izvērtē personas motivāciju kļūt par aizbildni, ģimenes locekļu savstarpējās attiecības, nodarbinātību, dzīves apstākļus, spējas pārstāvēt bērnu personiskajās un mantiskajās attiecībās, kā arī ņem vērā atzinumus par personas veselības stāvokli, ko sniedz ģimenes ārsts, kā arī psihiatrs un narkologs. </w:t>
      </w:r>
      <w:r w:rsidR="0057524F" w:rsidRPr="00090CDE">
        <w:rPr>
          <w:sz w:val="28"/>
          <w:szCs w:val="28"/>
        </w:rPr>
        <w:t xml:space="preserve">Tāpat bāriņtiesai jāpārliecinās, vai nepastāv kāds no Civillikuma 242.pantā noteiktajiem apstākļiem, kas liedz personai uzņemties aizbildņa pienākumus, piemēram, persona jau savulaik atcelta no aizbildņa pienākumu pildīšanas, jo konstatēti pārkāpumi aizbildņa rīcībā. </w:t>
      </w:r>
    </w:p>
    <w:p w:rsidR="00106DBB" w:rsidRPr="00090CDE" w:rsidRDefault="00454749" w:rsidP="003A4F73">
      <w:pPr>
        <w:spacing w:after="0" w:line="240" w:lineRule="auto"/>
        <w:ind w:firstLine="720"/>
        <w:rPr>
          <w:sz w:val="28"/>
          <w:szCs w:val="28"/>
        </w:rPr>
      </w:pPr>
      <w:r w:rsidRPr="00090CDE">
        <w:rPr>
          <w:sz w:val="28"/>
          <w:szCs w:val="28"/>
        </w:rPr>
        <w:t xml:space="preserve">Īpaši grūtos un sarežģītos aizbildnības gadījumos bāriņtiesa var iecelt vairākus aizbildņus, bet ne vairāk par trim. Gadījumos, ja aizbildnis ir kavēts uzņemties aizbildnību vai atstādināts no aizbildņa pienākumu pildīšanas, bāriņtiesa bērnam ieceļ </w:t>
      </w:r>
      <w:r w:rsidRPr="00090CDE">
        <w:rPr>
          <w:sz w:val="28"/>
          <w:szCs w:val="28"/>
        </w:rPr>
        <w:lastRenderedPageBreak/>
        <w:t>aizbildni</w:t>
      </w:r>
      <w:r w:rsidR="004F0680" w:rsidRPr="00090CDE">
        <w:rPr>
          <w:sz w:val="28"/>
          <w:szCs w:val="28"/>
        </w:rPr>
        <w:t xml:space="preserve"> uz laiku</w:t>
      </w:r>
      <w:r w:rsidRPr="00090CDE">
        <w:rPr>
          <w:sz w:val="28"/>
          <w:szCs w:val="28"/>
        </w:rPr>
        <w:t>. Tādējādi bāriņtiesu apkopotie dati par aizbildnības lietām aptver arī informāciju pa</w:t>
      </w:r>
      <w:r w:rsidR="003A4F73" w:rsidRPr="00090CDE">
        <w:rPr>
          <w:sz w:val="28"/>
          <w:szCs w:val="28"/>
        </w:rPr>
        <w:t>r</w:t>
      </w:r>
      <w:r w:rsidRPr="00090CDE">
        <w:rPr>
          <w:sz w:val="28"/>
          <w:szCs w:val="28"/>
        </w:rPr>
        <w:t xml:space="preserve"> aizbildņiem</w:t>
      </w:r>
      <w:r w:rsidR="003A4F73" w:rsidRPr="00090CDE">
        <w:rPr>
          <w:sz w:val="28"/>
          <w:szCs w:val="28"/>
        </w:rPr>
        <w:t xml:space="preserve"> uz laiku </w:t>
      </w:r>
      <w:r w:rsidRPr="00090CDE">
        <w:rPr>
          <w:sz w:val="28"/>
          <w:szCs w:val="28"/>
        </w:rPr>
        <w:t>(Bāriņtiesu likuma 26.panta trešā daļa) un līdzaizbildņiem (Civillikuma 316.pants).</w:t>
      </w:r>
    </w:p>
    <w:p w:rsidR="00535AF1" w:rsidRPr="00090CDE" w:rsidRDefault="00535AF1" w:rsidP="00551FA2">
      <w:pPr>
        <w:spacing w:after="0"/>
        <w:ind w:firstLine="720"/>
        <w:rPr>
          <w:sz w:val="16"/>
          <w:szCs w:val="16"/>
        </w:rPr>
      </w:pPr>
    </w:p>
    <w:p w:rsidR="00F105D4" w:rsidRPr="00090CDE" w:rsidRDefault="008E2FCB" w:rsidP="00AB6762">
      <w:pPr>
        <w:pStyle w:val="Heading2"/>
      </w:pPr>
      <w:bookmarkStart w:id="14" w:name="_Toc455138992"/>
      <w:r w:rsidRPr="00090CDE">
        <w:t>4</w:t>
      </w:r>
      <w:r w:rsidR="00AB6762" w:rsidRPr="00090CDE">
        <w:t>.1.</w:t>
      </w:r>
      <w:r w:rsidR="00F105D4" w:rsidRPr="00090CDE">
        <w:t>Aizbildņu kopējais skaits pārskata gada 31.decembrī</w:t>
      </w:r>
      <w:bookmarkEnd w:id="14"/>
    </w:p>
    <w:p w:rsidR="00106DBB" w:rsidRPr="00090CDE" w:rsidRDefault="00106DBB" w:rsidP="00106DBB">
      <w:pPr>
        <w:rPr>
          <w:sz w:val="10"/>
          <w:szCs w:val="10"/>
        </w:rPr>
      </w:pPr>
    </w:p>
    <w:p w:rsidR="00676836" w:rsidRPr="00090CDE" w:rsidRDefault="00614D99" w:rsidP="00106DBB">
      <w:pPr>
        <w:spacing w:after="0"/>
        <w:ind w:firstLine="720"/>
        <w:rPr>
          <w:sz w:val="28"/>
          <w:szCs w:val="28"/>
        </w:rPr>
      </w:pPr>
      <w:r w:rsidRPr="00090CDE">
        <w:rPr>
          <w:sz w:val="28"/>
          <w:szCs w:val="28"/>
        </w:rPr>
        <w:t>Analizējot bāriņtiesu sniegtos datus</w:t>
      </w:r>
      <w:r w:rsidR="00676836" w:rsidRPr="00090CDE">
        <w:rPr>
          <w:sz w:val="28"/>
          <w:szCs w:val="28"/>
        </w:rPr>
        <w:t xml:space="preserve"> aizbild</w:t>
      </w:r>
      <w:r w:rsidRPr="00090CDE">
        <w:rPr>
          <w:sz w:val="28"/>
          <w:szCs w:val="28"/>
        </w:rPr>
        <w:t>nības jomā laika periodā no 2012.-2014</w:t>
      </w:r>
      <w:r w:rsidR="00676836" w:rsidRPr="00090CDE">
        <w:rPr>
          <w:sz w:val="28"/>
          <w:szCs w:val="28"/>
        </w:rPr>
        <w:t>.gadam</w:t>
      </w:r>
      <w:r w:rsidRPr="00090CDE">
        <w:rPr>
          <w:sz w:val="28"/>
          <w:szCs w:val="28"/>
        </w:rPr>
        <w:t>, secināms, ka skaitliskie rādītāji</w:t>
      </w:r>
      <w:r w:rsidR="00676836" w:rsidRPr="00090CDE">
        <w:rPr>
          <w:sz w:val="28"/>
          <w:szCs w:val="28"/>
        </w:rPr>
        <w:t xml:space="preserve"> attiecībā uz personām, kuras Bāriņtiesu likumā noteiktajos gadījumos ieceltas par aizbildni bez vecāku gādības palikušajiem </w:t>
      </w:r>
      <w:r w:rsidRPr="00090CDE">
        <w:rPr>
          <w:sz w:val="28"/>
          <w:szCs w:val="28"/>
        </w:rPr>
        <w:t>bērniem, ir mainīgi.</w:t>
      </w:r>
      <w:r w:rsidR="00654CC1" w:rsidRPr="00090CDE">
        <w:rPr>
          <w:sz w:val="28"/>
          <w:szCs w:val="28"/>
        </w:rPr>
        <w:t xml:space="preserve"> Respektīvi, vadoties p</w:t>
      </w:r>
      <w:r w:rsidR="00A6752F" w:rsidRPr="00090CDE">
        <w:rPr>
          <w:sz w:val="28"/>
          <w:szCs w:val="28"/>
        </w:rPr>
        <w:t xml:space="preserve">ēc </w:t>
      </w:r>
      <w:r w:rsidR="00676836" w:rsidRPr="00090CDE">
        <w:rPr>
          <w:sz w:val="28"/>
          <w:szCs w:val="28"/>
        </w:rPr>
        <w:t xml:space="preserve">bāriņtiesas rīcībā esošajiem datiem, </w:t>
      </w:r>
      <w:r w:rsidR="00744BE9" w:rsidRPr="00090CDE">
        <w:rPr>
          <w:sz w:val="28"/>
          <w:szCs w:val="28"/>
        </w:rPr>
        <w:t xml:space="preserve">2012.gada 31.decembrī </w:t>
      </w:r>
      <w:r w:rsidR="005D1291" w:rsidRPr="00090CDE">
        <w:rPr>
          <w:sz w:val="28"/>
          <w:szCs w:val="28"/>
        </w:rPr>
        <w:t xml:space="preserve">valstī kopumā bija </w:t>
      </w:r>
      <w:r w:rsidR="00744BE9" w:rsidRPr="00090CDE">
        <w:rPr>
          <w:sz w:val="28"/>
          <w:szCs w:val="28"/>
        </w:rPr>
        <w:t>4083</w:t>
      </w:r>
      <w:r w:rsidR="005D1291" w:rsidRPr="00090CDE">
        <w:rPr>
          <w:sz w:val="28"/>
          <w:szCs w:val="28"/>
        </w:rPr>
        <w:t xml:space="preserve"> personas, kuras uz minēto pārskata periodu </w:t>
      </w:r>
      <w:r w:rsidR="00744BE9" w:rsidRPr="00090CDE">
        <w:rPr>
          <w:sz w:val="28"/>
          <w:szCs w:val="28"/>
        </w:rPr>
        <w:t>pildīja</w:t>
      </w:r>
      <w:r w:rsidR="005D1291" w:rsidRPr="00090CDE">
        <w:rPr>
          <w:sz w:val="28"/>
          <w:szCs w:val="28"/>
        </w:rPr>
        <w:t xml:space="preserve"> ārpusģimenes aprūpē esošo bērnu aizbildņa pienākumus.</w:t>
      </w:r>
      <w:r w:rsidR="00202AA4" w:rsidRPr="00090CDE">
        <w:rPr>
          <w:sz w:val="28"/>
          <w:szCs w:val="28"/>
        </w:rPr>
        <w:t xml:space="preserve"> 2013</w:t>
      </w:r>
      <w:r w:rsidR="00676836" w:rsidRPr="00090CDE">
        <w:rPr>
          <w:sz w:val="28"/>
          <w:szCs w:val="28"/>
        </w:rPr>
        <w:t xml:space="preserve">.gadā vērojams </w:t>
      </w:r>
      <w:r w:rsidR="00A6752F" w:rsidRPr="00090CDE">
        <w:rPr>
          <w:sz w:val="28"/>
          <w:szCs w:val="28"/>
        </w:rPr>
        <w:t xml:space="preserve">aizbildņu </w:t>
      </w:r>
      <w:r w:rsidR="005D1291" w:rsidRPr="00090CDE">
        <w:rPr>
          <w:sz w:val="28"/>
          <w:szCs w:val="28"/>
        </w:rPr>
        <w:t>kopējā skaita neliels pieaugums,</w:t>
      </w:r>
      <w:r w:rsidR="00A6752F" w:rsidRPr="00090CDE">
        <w:rPr>
          <w:sz w:val="28"/>
          <w:szCs w:val="28"/>
        </w:rPr>
        <w:t xml:space="preserve"> t.i. </w:t>
      </w:r>
      <w:r w:rsidR="005D1291" w:rsidRPr="00090CDE">
        <w:rPr>
          <w:sz w:val="28"/>
          <w:szCs w:val="28"/>
        </w:rPr>
        <w:t>4132</w:t>
      </w:r>
      <w:r w:rsidR="00A6752F" w:rsidRPr="00090CDE">
        <w:rPr>
          <w:sz w:val="28"/>
          <w:szCs w:val="28"/>
        </w:rPr>
        <w:t xml:space="preserve"> personas</w:t>
      </w:r>
      <w:r w:rsidR="00202AA4" w:rsidRPr="00090CDE">
        <w:rPr>
          <w:sz w:val="28"/>
          <w:szCs w:val="28"/>
        </w:rPr>
        <w:t>, kas ir par 49 aizbildņiem vairāk nekā 2012.gadā.</w:t>
      </w:r>
      <w:r w:rsidR="00255810" w:rsidRPr="00090CDE">
        <w:rPr>
          <w:sz w:val="28"/>
          <w:szCs w:val="28"/>
        </w:rPr>
        <w:t xml:space="preserve"> Savukārt 2014.gadā atkal</w:t>
      </w:r>
      <w:r w:rsidR="00676836" w:rsidRPr="00090CDE">
        <w:rPr>
          <w:sz w:val="28"/>
          <w:szCs w:val="28"/>
        </w:rPr>
        <w:t xml:space="preserve"> novērojams</w:t>
      </w:r>
      <w:r w:rsidR="00255810" w:rsidRPr="00090CDE">
        <w:rPr>
          <w:sz w:val="28"/>
          <w:szCs w:val="28"/>
        </w:rPr>
        <w:t xml:space="preserve"> aizbildņu kopējā skaita samazinājums</w:t>
      </w:r>
      <w:r w:rsidR="00676836" w:rsidRPr="00090CDE">
        <w:rPr>
          <w:sz w:val="28"/>
          <w:szCs w:val="28"/>
        </w:rPr>
        <w:t>, proti,</w:t>
      </w:r>
      <w:r w:rsidR="00255810" w:rsidRPr="00090CDE">
        <w:rPr>
          <w:sz w:val="28"/>
          <w:szCs w:val="28"/>
        </w:rPr>
        <w:t xml:space="preserve"> bāriņtiesas sniegušas datus par 3993 personām, kuras ar bāriņtiesas lēmumu Bāriņtiesu likumā paredzētajos gadījumos ieceltas par aizbildni bērniem, tātad kopējais aizbildņu skaits pārskata periodā, salīdzinot ar iepriekšējo gadu, samazinājies par 139 personām. </w:t>
      </w:r>
      <w:r w:rsidR="00430D93" w:rsidRPr="00090CDE">
        <w:rPr>
          <w:sz w:val="28"/>
          <w:szCs w:val="28"/>
        </w:rPr>
        <w:t>Apkopojot datus par 2015.gadu, konstatēts, ka turpinās tendence samazināties aizildņu skaitam, proti, 2015.gada 31.decembrī aizbildņu kopējais skaits valstī bija 3757, t.i. par 236 aizbildņiem mazāk nekā 2014.gadā.</w:t>
      </w:r>
    </w:p>
    <w:p w:rsidR="008B4E92" w:rsidRPr="00090CDE" w:rsidRDefault="00C8044D" w:rsidP="00441310">
      <w:pPr>
        <w:spacing w:after="0"/>
        <w:ind w:firstLine="720"/>
        <w:jc w:val="right"/>
        <w:rPr>
          <w:b/>
          <w:sz w:val="26"/>
          <w:szCs w:val="26"/>
        </w:rPr>
      </w:pPr>
      <w:r w:rsidRPr="00090CDE">
        <w:rPr>
          <w:b/>
          <w:sz w:val="26"/>
          <w:szCs w:val="26"/>
        </w:rPr>
        <w:t>17</w:t>
      </w:r>
      <w:r w:rsidR="00954CE9" w:rsidRPr="00090CDE">
        <w:rPr>
          <w:b/>
          <w:sz w:val="26"/>
          <w:szCs w:val="26"/>
        </w:rPr>
        <w:t>.</w:t>
      </w:r>
      <w:r w:rsidR="00B23560" w:rsidRPr="00090CDE">
        <w:rPr>
          <w:b/>
          <w:sz w:val="26"/>
          <w:szCs w:val="26"/>
        </w:rPr>
        <w:t>diagramm</w:t>
      </w:r>
      <w:r w:rsidR="00441310" w:rsidRPr="00090CDE">
        <w:rPr>
          <w:b/>
          <w:sz w:val="26"/>
          <w:szCs w:val="26"/>
        </w:rPr>
        <w:t>a</w:t>
      </w:r>
    </w:p>
    <w:p w:rsidR="00A76B4F" w:rsidRPr="00090CDE" w:rsidRDefault="00A76B4F" w:rsidP="00C8044D">
      <w:pPr>
        <w:spacing w:after="0"/>
        <w:rPr>
          <w:sz w:val="28"/>
          <w:szCs w:val="28"/>
        </w:rPr>
      </w:pPr>
    </w:p>
    <w:p w:rsidR="00A76B4F" w:rsidRPr="00090CDE" w:rsidRDefault="00A76B4F" w:rsidP="001C22F1">
      <w:pPr>
        <w:spacing w:after="0"/>
        <w:ind w:firstLine="720"/>
        <w:rPr>
          <w:sz w:val="28"/>
          <w:szCs w:val="28"/>
        </w:rPr>
      </w:pPr>
      <w:r w:rsidRPr="00090CDE">
        <w:rPr>
          <w:noProof/>
          <w:lang w:val="en-GB" w:eastAsia="en-GB"/>
        </w:rPr>
        <w:drawing>
          <wp:inline distT="0" distB="0" distL="0" distR="0" wp14:anchorId="505436BF" wp14:editId="49C52F81">
            <wp:extent cx="5295900" cy="3514725"/>
            <wp:effectExtent l="0" t="0" r="0" b="9525"/>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76B4F" w:rsidRPr="00090CDE" w:rsidRDefault="00A76B4F" w:rsidP="001C22F1">
      <w:pPr>
        <w:spacing w:after="0"/>
        <w:ind w:firstLine="720"/>
        <w:rPr>
          <w:sz w:val="28"/>
          <w:szCs w:val="28"/>
        </w:rPr>
      </w:pPr>
    </w:p>
    <w:p w:rsidR="00A76B4F" w:rsidRPr="00090CDE" w:rsidRDefault="00C8044D" w:rsidP="00C8044D">
      <w:pPr>
        <w:spacing w:after="0"/>
        <w:ind w:firstLine="720"/>
        <w:rPr>
          <w:sz w:val="28"/>
          <w:szCs w:val="28"/>
        </w:rPr>
      </w:pPr>
      <w:r w:rsidRPr="00090CDE">
        <w:rPr>
          <w:sz w:val="28"/>
          <w:szCs w:val="28"/>
        </w:rPr>
        <w:t xml:space="preserve">Saskaņā ar Civillikuma 235.un 236.panta tiesisko regulējumu aizbildnība pār nepilngadīgajiem [..] piekrīt vispirms viņu tuvākajiem radiniekiem, bet tam ir </w:t>
      </w:r>
      <w:r w:rsidRPr="00090CDE">
        <w:rPr>
          <w:sz w:val="28"/>
          <w:szCs w:val="28"/>
        </w:rPr>
        <w:lastRenderedPageBreak/>
        <w:t>nepieciešams bāriņtiesas apstiprinājums. Par aizbildņiem bāriņtiesa izrauga no vienādi tuviem radiniekiem piemērotākos, bet, ja tuvākie izrādītos nepiemēroti, tad tālākos. Ja starp nepilngadīgo radiniekiem neatrodas spējīgi vai arī, ja spējīgie nevar uzņemties aizbildnību, vai ja viņus atlaiž no aizbildņu amata likumisku iemeslu dēļ, kā arī, ja nepilngadīgajiem nemaz nav radinieku, aizbildņus ieceļ bāriņtiesa no citu personu vidus.</w:t>
      </w:r>
    </w:p>
    <w:p w:rsidR="001C22F1" w:rsidRPr="00090CDE" w:rsidRDefault="00C8044D" w:rsidP="001C22F1">
      <w:pPr>
        <w:spacing w:after="0"/>
        <w:ind w:firstLine="720"/>
        <w:rPr>
          <w:sz w:val="28"/>
          <w:szCs w:val="28"/>
        </w:rPr>
      </w:pPr>
      <w:r w:rsidRPr="00090CDE">
        <w:rPr>
          <w:sz w:val="28"/>
          <w:szCs w:val="28"/>
        </w:rPr>
        <w:t>Kā redzams 17</w:t>
      </w:r>
      <w:r w:rsidR="008A038D" w:rsidRPr="00090CDE">
        <w:rPr>
          <w:sz w:val="28"/>
          <w:szCs w:val="28"/>
        </w:rPr>
        <w:t>.diagrammā</w:t>
      </w:r>
      <w:r w:rsidRPr="00090CDE">
        <w:rPr>
          <w:sz w:val="28"/>
          <w:szCs w:val="28"/>
        </w:rPr>
        <w:t xml:space="preserve"> (30</w:t>
      </w:r>
      <w:r w:rsidR="00106DBB" w:rsidRPr="00090CDE">
        <w:rPr>
          <w:sz w:val="28"/>
          <w:szCs w:val="28"/>
        </w:rPr>
        <w:t>.lpp.)</w:t>
      </w:r>
      <w:r w:rsidR="0075416A" w:rsidRPr="00090CDE">
        <w:rPr>
          <w:sz w:val="28"/>
          <w:szCs w:val="28"/>
        </w:rPr>
        <w:t>, līdzīgas tendences pēdējo</w:t>
      </w:r>
      <w:r w:rsidR="008A038D" w:rsidRPr="00090CDE">
        <w:rPr>
          <w:sz w:val="28"/>
          <w:szCs w:val="28"/>
        </w:rPr>
        <w:t xml:space="preserve"> gadu laikā vērojamas attiecībā uz aizbildņu sadalījumu pēc radniecības ar bērnu. Analogi kā 2012.</w:t>
      </w:r>
      <w:r w:rsidRPr="00090CDE">
        <w:rPr>
          <w:sz w:val="28"/>
          <w:szCs w:val="28"/>
        </w:rPr>
        <w:t>,</w:t>
      </w:r>
      <w:r w:rsidR="0075416A" w:rsidRPr="00090CDE">
        <w:rPr>
          <w:sz w:val="28"/>
          <w:szCs w:val="28"/>
        </w:rPr>
        <w:t>2013.gadā</w:t>
      </w:r>
      <w:r w:rsidRPr="00090CDE">
        <w:rPr>
          <w:sz w:val="28"/>
          <w:szCs w:val="28"/>
        </w:rPr>
        <w:t xml:space="preserve"> un 2014.gadā, tāpat arī 2015</w:t>
      </w:r>
      <w:r w:rsidR="008A038D" w:rsidRPr="00090CDE">
        <w:rPr>
          <w:sz w:val="28"/>
          <w:szCs w:val="28"/>
        </w:rPr>
        <w:t>.gadā lielākais aizbildņu skaits ir bērnu radinieki, proti, visbiežāk ar bāriņtiesas lēmumu iecelti</w:t>
      </w:r>
      <w:r w:rsidR="00BC34F5" w:rsidRPr="00090CDE">
        <w:rPr>
          <w:sz w:val="28"/>
          <w:szCs w:val="28"/>
        </w:rPr>
        <w:t xml:space="preserve"> bērna vecvecāki un citi bērna radinieki, </w:t>
      </w:r>
      <w:r w:rsidR="0075416A" w:rsidRPr="00090CDE">
        <w:rPr>
          <w:sz w:val="28"/>
          <w:szCs w:val="28"/>
        </w:rPr>
        <w:t>kopumā</w:t>
      </w:r>
      <w:r w:rsidRPr="00090CDE">
        <w:rPr>
          <w:sz w:val="28"/>
          <w:szCs w:val="28"/>
        </w:rPr>
        <w:t xml:space="preserve"> 2888 personas, kas kopumā sastāda 76,9</w:t>
      </w:r>
      <w:r w:rsidR="0075416A" w:rsidRPr="00090CDE">
        <w:rPr>
          <w:sz w:val="28"/>
          <w:szCs w:val="28"/>
        </w:rPr>
        <w:t>%</w:t>
      </w:r>
      <w:r w:rsidRPr="00090CDE">
        <w:rPr>
          <w:sz w:val="28"/>
          <w:szCs w:val="28"/>
        </w:rPr>
        <w:t xml:space="preserve"> no kopējā aizbildņu skaita 2015</w:t>
      </w:r>
      <w:r w:rsidR="0075416A" w:rsidRPr="00090CDE">
        <w:rPr>
          <w:sz w:val="28"/>
          <w:szCs w:val="28"/>
        </w:rPr>
        <w:t>.gada 31.decembrī.</w:t>
      </w:r>
      <w:r w:rsidR="00BC34F5" w:rsidRPr="00090CDE">
        <w:rPr>
          <w:sz w:val="28"/>
          <w:szCs w:val="28"/>
        </w:rPr>
        <w:t xml:space="preserve"> </w:t>
      </w:r>
      <w:r w:rsidR="001379B3" w:rsidRPr="00090CDE">
        <w:rPr>
          <w:sz w:val="28"/>
          <w:szCs w:val="28"/>
        </w:rPr>
        <w:t>Proti, no visiem aizbildņiem, kas ar bāriņtie</w:t>
      </w:r>
      <w:r w:rsidRPr="00090CDE">
        <w:rPr>
          <w:sz w:val="28"/>
          <w:szCs w:val="28"/>
        </w:rPr>
        <w:t>sas lēmumu iecelti bērniem, 1913</w:t>
      </w:r>
      <w:r w:rsidR="001379B3" w:rsidRPr="00090CDE">
        <w:rPr>
          <w:sz w:val="28"/>
          <w:szCs w:val="28"/>
        </w:rPr>
        <w:t xml:space="preserve"> personas ir bērna vecvecāk</w:t>
      </w:r>
      <w:r w:rsidRPr="00090CDE">
        <w:rPr>
          <w:sz w:val="28"/>
          <w:szCs w:val="28"/>
        </w:rPr>
        <w:t>i un 975</w:t>
      </w:r>
      <w:r w:rsidR="001379B3" w:rsidRPr="00090CDE">
        <w:rPr>
          <w:sz w:val="28"/>
          <w:szCs w:val="28"/>
        </w:rPr>
        <w:t xml:space="preserve"> personas ir citi bērna radinieki. </w:t>
      </w:r>
      <w:r w:rsidR="001C22F1" w:rsidRPr="00090CDE">
        <w:rPr>
          <w:sz w:val="28"/>
          <w:szCs w:val="28"/>
        </w:rPr>
        <w:t>Iepriekš minētās tendences norāda uz to, ka bāriņtiesas atbilstoši normatīvajos aktos noteiktajam pēc iespējas apzina potenciālos aizbildņus, kas var uzņemties rūpes par bērnu, apzina viņu spējas uzņemties aizbildnību un tikai tad, ja nepastāv iespēja bērnam par aizbildni iecelt radinieku, nodrošina bērnam iespēju augt citas personas, kas nav bērna radinieks, ģimenē.</w:t>
      </w:r>
    </w:p>
    <w:p w:rsidR="0075416A" w:rsidRPr="00090CDE" w:rsidRDefault="001379B3" w:rsidP="00F17BEE">
      <w:pPr>
        <w:spacing w:after="0"/>
        <w:ind w:firstLine="720"/>
        <w:rPr>
          <w:sz w:val="28"/>
          <w:szCs w:val="28"/>
        </w:rPr>
      </w:pPr>
      <w:r w:rsidRPr="00090CDE">
        <w:rPr>
          <w:sz w:val="28"/>
          <w:szCs w:val="28"/>
        </w:rPr>
        <w:t>Vienlaikus, apkopojot statistikas da</w:t>
      </w:r>
      <w:r w:rsidR="00C914FF" w:rsidRPr="00090CDE">
        <w:rPr>
          <w:sz w:val="28"/>
          <w:szCs w:val="28"/>
        </w:rPr>
        <w:t>tus par pārskata periodu uz 2015</w:t>
      </w:r>
      <w:r w:rsidRPr="00090CDE">
        <w:rPr>
          <w:sz w:val="28"/>
          <w:szCs w:val="28"/>
        </w:rPr>
        <w:t xml:space="preserve">.gada 31.decembri, konstatēts, ka </w:t>
      </w:r>
      <w:r w:rsidR="00C914FF" w:rsidRPr="00090CDE">
        <w:rPr>
          <w:sz w:val="28"/>
          <w:szCs w:val="28"/>
        </w:rPr>
        <w:t>869</w:t>
      </w:r>
      <w:r w:rsidRPr="00090CDE">
        <w:rPr>
          <w:sz w:val="28"/>
          <w:szCs w:val="28"/>
        </w:rPr>
        <w:t xml:space="preserve"> personas, kuras pilda aizbildņa pienākumus, ir aizbildņi, kas iecelti no citu personu vidus, proti, personas, kas nav bērna radinieki, </w:t>
      </w:r>
      <w:r w:rsidR="001C22F1" w:rsidRPr="00090CDE">
        <w:rPr>
          <w:sz w:val="28"/>
          <w:szCs w:val="28"/>
        </w:rPr>
        <w:t>bet ir pazīstami ar bērnu un</w:t>
      </w:r>
      <w:r w:rsidRPr="00090CDE">
        <w:rPr>
          <w:sz w:val="28"/>
          <w:szCs w:val="28"/>
        </w:rPr>
        <w:t xml:space="preserve"> kurām ar bērnu izveidojies labs kontakts</w:t>
      </w:r>
      <w:r w:rsidR="001C22F1" w:rsidRPr="00090CDE">
        <w:rPr>
          <w:sz w:val="28"/>
          <w:szCs w:val="28"/>
        </w:rPr>
        <w:t>, un bāriņtiesa atzinusi, ka š</w:t>
      </w:r>
      <w:r w:rsidR="00106DBB" w:rsidRPr="00090CDE">
        <w:rPr>
          <w:sz w:val="28"/>
          <w:szCs w:val="28"/>
        </w:rPr>
        <w:t>ī persona ir piemērota aizbildņa</w:t>
      </w:r>
      <w:r w:rsidR="001C22F1" w:rsidRPr="00090CDE">
        <w:rPr>
          <w:sz w:val="28"/>
          <w:szCs w:val="28"/>
        </w:rPr>
        <w:t xml:space="preserve"> pienākumu pildīšanai un konkrētā aizbildnība atbilst bērna vislabākajām interesēm. </w:t>
      </w:r>
      <w:r w:rsidR="00C914FF" w:rsidRPr="00090CDE">
        <w:rPr>
          <w:sz w:val="28"/>
          <w:szCs w:val="28"/>
        </w:rPr>
        <w:t xml:space="preserve">Salīdzinoši par 2014.gadu sniegti dati par </w:t>
      </w:r>
      <w:r w:rsidR="00551F29" w:rsidRPr="00090CDE">
        <w:rPr>
          <w:sz w:val="28"/>
          <w:szCs w:val="28"/>
        </w:rPr>
        <w:t xml:space="preserve">908 personām, kas nav bērnu radinieki, t.i. par 39 personām vairāk nekā 2015.gadā. </w:t>
      </w:r>
      <w:r w:rsidR="00C914FF" w:rsidRPr="00090CDE">
        <w:rPr>
          <w:sz w:val="28"/>
          <w:szCs w:val="28"/>
        </w:rPr>
        <w:t xml:space="preserve"> </w:t>
      </w:r>
      <w:r w:rsidR="001C22F1" w:rsidRPr="00090CDE">
        <w:rPr>
          <w:sz w:val="28"/>
          <w:szCs w:val="28"/>
        </w:rPr>
        <w:t>Citu personu skaits, kuras ieceltas</w:t>
      </w:r>
      <w:r w:rsidR="00551F29" w:rsidRPr="00090CDE">
        <w:rPr>
          <w:sz w:val="28"/>
          <w:szCs w:val="28"/>
        </w:rPr>
        <w:t xml:space="preserve"> par aizbildni bērnam sastāda 23,1</w:t>
      </w:r>
      <w:r w:rsidR="001C22F1" w:rsidRPr="00090CDE">
        <w:rPr>
          <w:sz w:val="28"/>
          <w:szCs w:val="28"/>
        </w:rPr>
        <w:t>3%</w:t>
      </w:r>
      <w:r w:rsidR="00551F29" w:rsidRPr="00090CDE">
        <w:rPr>
          <w:sz w:val="28"/>
          <w:szCs w:val="28"/>
        </w:rPr>
        <w:t xml:space="preserve"> no kopējā aizbildņu skaita 2015</w:t>
      </w:r>
      <w:r w:rsidR="001C22F1" w:rsidRPr="00090CDE">
        <w:rPr>
          <w:sz w:val="28"/>
          <w:szCs w:val="28"/>
        </w:rPr>
        <w:t xml:space="preserve">.gada 31.decembrī. Vienlaikus datu apkopojumā </w:t>
      </w:r>
      <w:r w:rsidR="00551F29" w:rsidRPr="00090CDE">
        <w:rPr>
          <w:sz w:val="28"/>
          <w:szCs w:val="28"/>
        </w:rPr>
        <w:t>17</w:t>
      </w:r>
      <w:r w:rsidR="001C22F1" w:rsidRPr="00090CDE">
        <w:rPr>
          <w:sz w:val="28"/>
          <w:szCs w:val="28"/>
        </w:rPr>
        <w:t xml:space="preserve">.diagrammā redzams, ka katru gadu pakāpeniski samazinās citu personu skaits, kuras ieceltas par aizbildni bērnam. Proti, </w:t>
      </w:r>
      <w:r w:rsidR="00D27D87" w:rsidRPr="00090CDE">
        <w:rPr>
          <w:sz w:val="28"/>
          <w:szCs w:val="28"/>
        </w:rPr>
        <w:t xml:space="preserve">2012.gadā kopumā sniegtas ziņas par 1075 šādām personām. </w:t>
      </w:r>
      <w:r w:rsidR="00632646" w:rsidRPr="00090CDE">
        <w:rPr>
          <w:sz w:val="28"/>
          <w:szCs w:val="28"/>
        </w:rPr>
        <w:t>Savukārt</w:t>
      </w:r>
      <w:r w:rsidR="001C22F1" w:rsidRPr="00090CDE">
        <w:rPr>
          <w:sz w:val="28"/>
          <w:szCs w:val="28"/>
        </w:rPr>
        <w:t xml:space="preserve"> 2013.gadā bāriņtiesas sniegušas datus par 979 personām, kas ieceltas bērnam no citu</w:t>
      </w:r>
      <w:r w:rsidR="00632646" w:rsidRPr="00090CDE">
        <w:rPr>
          <w:sz w:val="28"/>
          <w:szCs w:val="28"/>
        </w:rPr>
        <w:t xml:space="preserve"> personu vidus</w:t>
      </w:r>
      <w:r w:rsidR="001C22F1" w:rsidRPr="00090CDE">
        <w:rPr>
          <w:sz w:val="28"/>
          <w:szCs w:val="28"/>
        </w:rPr>
        <w:t xml:space="preserve">. </w:t>
      </w:r>
    </w:p>
    <w:p w:rsidR="0075416A" w:rsidRPr="00090CDE" w:rsidRDefault="0075416A" w:rsidP="00A565E4">
      <w:pPr>
        <w:spacing w:after="0"/>
        <w:rPr>
          <w:sz w:val="16"/>
          <w:szCs w:val="16"/>
        </w:rPr>
      </w:pPr>
    </w:p>
    <w:p w:rsidR="00AB6762" w:rsidRPr="00090CDE" w:rsidRDefault="008E2FCB" w:rsidP="00F17BEE">
      <w:pPr>
        <w:pStyle w:val="Heading2"/>
      </w:pPr>
      <w:bookmarkStart w:id="15" w:name="_Toc455138993"/>
      <w:r w:rsidRPr="00090CDE">
        <w:t>4</w:t>
      </w:r>
      <w:r w:rsidR="00052087" w:rsidRPr="00090CDE">
        <w:t>.2.Aizbildņu un aizbildnībā esošo bērnu skaits pārskata gadā</w:t>
      </w:r>
      <w:bookmarkEnd w:id="15"/>
    </w:p>
    <w:p w:rsidR="00F17BEE" w:rsidRPr="00090CDE" w:rsidRDefault="00F17BEE" w:rsidP="00F17BEE">
      <w:pPr>
        <w:spacing w:after="0" w:line="240" w:lineRule="auto"/>
        <w:rPr>
          <w:sz w:val="16"/>
          <w:szCs w:val="16"/>
        </w:rPr>
      </w:pPr>
    </w:p>
    <w:p w:rsidR="00DD35BB" w:rsidRPr="00090CDE" w:rsidRDefault="003D45E6" w:rsidP="00C9195B">
      <w:pPr>
        <w:ind w:firstLine="720"/>
        <w:rPr>
          <w:sz w:val="28"/>
          <w:szCs w:val="28"/>
        </w:rPr>
      </w:pPr>
      <w:r w:rsidRPr="00090CDE">
        <w:rPr>
          <w:sz w:val="28"/>
          <w:szCs w:val="28"/>
        </w:rPr>
        <w:t>Analizējot bāriņtiesu a</w:t>
      </w:r>
      <w:r w:rsidR="00DD35BB" w:rsidRPr="00090CDE">
        <w:rPr>
          <w:sz w:val="28"/>
          <w:szCs w:val="28"/>
        </w:rPr>
        <w:t xml:space="preserve">pkopotos datus par </w:t>
      </w:r>
      <w:r w:rsidRPr="00090CDE">
        <w:rPr>
          <w:sz w:val="28"/>
          <w:szCs w:val="28"/>
        </w:rPr>
        <w:t>aizbilstamo skaitu pārskata gadā, noskaidrots, ka ik gadu pakāpeniski samazinās to bērnu skaits, kuriem aizbildnis pārskata gadā iecelts pirmreizēji.</w:t>
      </w:r>
      <w:r w:rsidR="00DD35BB" w:rsidRPr="00090CDE">
        <w:rPr>
          <w:sz w:val="28"/>
          <w:szCs w:val="28"/>
        </w:rPr>
        <w:t xml:space="preserve"> 18</w:t>
      </w:r>
      <w:r w:rsidRPr="00090CDE">
        <w:rPr>
          <w:sz w:val="28"/>
          <w:szCs w:val="28"/>
        </w:rPr>
        <w:t>.diagrammā redzams, ka 2012.gadā pirmreizēji aizbildnība nodibināta un aizb</w:t>
      </w:r>
      <w:r w:rsidR="005C50D9" w:rsidRPr="00090CDE">
        <w:rPr>
          <w:sz w:val="28"/>
          <w:szCs w:val="28"/>
        </w:rPr>
        <w:t xml:space="preserve">ildnis iecelts 843 bērniem, </w:t>
      </w:r>
      <w:r w:rsidRPr="00090CDE">
        <w:rPr>
          <w:sz w:val="28"/>
          <w:szCs w:val="28"/>
        </w:rPr>
        <w:t>2013.gadā –</w:t>
      </w:r>
      <w:r w:rsidR="005C50D9" w:rsidRPr="00090CDE">
        <w:rPr>
          <w:sz w:val="28"/>
          <w:szCs w:val="28"/>
        </w:rPr>
        <w:t xml:space="preserve"> 804 bērniem, </w:t>
      </w:r>
      <w:r w:rsidR="00DD35BB" w:rsidRPr="00090CDE">
        <w:rPr>
          <w:sz w:val="28"/>
          <w:szCs w:val="28"/>
        </w:rPr>
        <w:t>savukārt 2014.gadā- 722 bērniem, t.i. par 82 bērniem mazāk nekā 2013.gadā. 2015.gadā turpinās tendence samazināties to bērnu skaitam, kuriem nodibināta aizbildn</w:t>
      </w:r>
      <w:r w:rsidR="00C9195B" w:rsidRPr="00090CDE">
        <w:rPr>
          <w:sz w:val="28"/>
          <w:szCs w:val="28"/>
        </w:rPr>
        <w:t xml:space="preserve">ība, proti, bāriņtiesas sniegušas datus par 609 bērniem, kuriem aizbildnis </w:t>
      </w:r>
      <w:r w:rsidR="00C9195B" w:rsidRPr="00090CDE">
        <w:rPr>
          <w:sz w:val="28"/>
          <w:szCs w:val="28"/>
        </w:rPr>
        <w:lastRenderedPageBreak/>
        <w:t xml:space="preserve">iecelts 2015.gadā pirmreizēji, t.i. jau par 113 bērniem mazāk nekā 2014.gadā un par 195 bērniem mazāk nekā 2013.gadā. </w:t>
      </w:r>
    </w:p>
    <w:p w:rsidR="00C9195B" w:rsidRPr="00090CDE" w:rsidRDefault="005C50D9" w:rsidP="00BE61C1">
      <w:pPr>
        <w:ind w:firstLine="720"/>
        <w:rPr>
          <w:sz w:val="28"/>
          <w:szCs w:val="28"/>
        </w:rPr>
      </w:pPr>
      <w:r w:rsidRPr="00090CDE">
        <w:rPr>
          <w:sz w:val="28"/>
          <w:szCs w:val="28"/>
        </w:rPr>
        <w:t>Vienlaikus, apkopojot datus</w:t>
      </w:r>
      <w:r w:rsidR="00C9195B" w:rsidRPr="00090CDE">
        <w:rPr>
          <w:sz w:val="28"/>
          <w:szCs w:val="28"/>
        </w:rPr>
        <w:t xml:space="preserve"> par aizbildņu skaitu pārskata gadā</w:t>
      </w:r>
      <w:r w:rsidRPr="00090CDE">
        <w:rPr>
          <w:sz w:val="28"/>
          <w:szCs w:val="28"/>
        </w:rPr>
        <w:t xml:space="preserve">, konstatēts, ka 2012.gadā 668 personas ieceltas par aizbildni bērnam pie pirmreizējas aizbildnības nodibināšanas. 2013.gadā, salīdzinot ar 2012.gadu, tikai par 8 personām vairāk pieņemts attiecīgs lēmums, proti, par 676 personām. Savukārt </w:t>
      </w:r>
      <w:r w:rsidR="00C9195B" w:rsidRPr="00090CDE">
        <w:rPr>
          <w:sz w:val="28"/>
          <w:szCs w:val="28"/>
        </w:rPr>
        <w:t>kopš 2014.gada</w:t>
      </w:r>
      <w:r w:rsidRPr="00090CDE">
        <w:rPr>
          <w:sz w:val="28"/>
          <w:szCs w:val="28"/>
        </w:rPr>
        <w:t xml:space="preserve"> kopumā vērojams </w:t>
      </w:r>
      <w:r w:rsidR="003D45E6" w:rsidRPr="00090CDE">
        <w:rPr>
          <w:sz w:val="28"/>
          <w:szCs w:val="28"/>
        </w:rPr>
        <w:t>aizbildņu</w:t>
      </w:r>
      <w:r w:rsidRPr="00090CDE">
        <w:rPr>
          <w:sz w:val="28"/>
          <w:szCs w:val="28"/>
        </w:rPr>
        <w:t>,</w:t>
      </w:r>
      <w:r w:rsidR="003D45E6" w:rsidRPr="00090CDE">
        <w:rPr>
          <w:sz w:val="28"/>
          <w:szCs w:val="28"/>
        </w:rPr>
        <w:t xml:space="preserve"> </w:t>
      </w:r>
      <w:r w:rsidRPr="00090CDE">
        <w:rPr>
          <w:sz w:val="28"/>
          <w:szCs w:val="28"/>
        </w:rPr>
        <w:t>kuri pirmreizēji ar bāriņtiesas lēmumu iecelti bērna tiesību pārstāvībai</w:t>
      </w:r>
      <w:r w:rsidR="003D45E6" w:rsidRPr="00090CDE">
        <w:rPr>
          <w:sz w:val="28"/>
          <w:szCs w:val="28"/>
        </w:rPr>
        <w:t>,</w:t>
      </w:r>
      <w:r w:rsidRPr="00090CDE">
        <w:rPr>
          <w:sz w:val="28"/>
          <w:szCs w:val="28"/>
        </w:rPr>
        <w:t xml:space="preserve"> skaita samazinājums</w:t>
      </w:r>
      <w:r w:rsidR="007B1BDE" w:rsidRPr="00090CDE">
        <w:rPr>
          <w:sz w:val="28"/>
          <w:szCs w:val="28"/>
        </w:rPr>
        <w:t>, respekt</w:t>
      </w:r>
      <w:r w:rsidR="00106DBB" w:rsidRPr="00090CDE">
        <w:rPr>
          <w:sz w:val="28"/>
          <w:szCs w:val="28"/>
        </w:rPr>
        <w:t>īvi, 579 personas atzītas par p</w:t>
      </w:r>
      <w:r w:rsidR="007B1BDE" w:rsidRPr="00090CDE">
        <w:rPr>
          <w:sz w:val="28"/>
          <w:szCs w:val="28"/>
        </w:rPr>
        <w:t>i</w:t>
      </w:r>
      <w:r w:rsidR="00106DBB" w:rsidRPr="00090CDE">
        <w:rPr>
          <w:sz w:val="28"/>
          <w:szCs w:val="28"/>
        </w:rPr>
        <w:t>e</w:t>
      </w:r>
      <w:r w:rsidR="007B1BDE" w:rsidRPr="00090CDE">
        <w:rPr>
          <w:sz w:val="28"/>
          <w:szCs w:val="28"/>
        </w:rPr>
        <w:t>mērotām pildīt aizbildņa pienākumus un ieceltas par aizbildni bērniem, tas ir par 97</w:t>
      </w:r>
      <w:r w:rsidR="00C9195B" w:rsidRPr="00090CDE">
        <w:rPr>
          <w:sz w:val="28"/>
          <w:szCs w:val="28"/>
        </w:rPr>
        <w:t xml:space="preserve"> personām mazāk nekā 2013.</w:t>
      </w:r>
      <w:r w:rsidR="007B1BDE" w:rsidRPr="00090CDE">
        <w:rPr>
          <w:sz w:val="28"/>
          <w:szCs w:val="28"/>
        </w:rPr>
        <w:t>gadā.</w:t>
      </w:r>
      <w:r w:rsidR="003D45E6" w:rsidRPr="00090CDE">
        <w:rPr>
          <w:sz w:val="28"/>
          <w:szCs w:val="28"/>
        </w:rPr>
        <w:t xml:space="preserve"> </w:t>
      </w:r>
      <w:r w:rsidR="00C9195B" w:rsidRPr="00090CDE">
        <w:rPr>
          <w:sz w:val="28"/>
          <w:szCs w:val="28"/>
        </w:rPr>
        <w:t xml:space="preserve">Apkopojot datus vienlaikus konstatēts, ka 2015.gadā kopumā bāreņiem un bez vecāku gādības palikušiem bērniem par aizbildni ieceltas 455 personas, t.i. par 124 personām mazāk nekā iepriekšējā gadā. </w:t>
      </w:r>
    </w:p>
    <w:p w:rsidR="00B20380" w:rsidRPr="00090CDE" w:rsidRDefault="003D45E6" w:rsidP="00BE61C1">
      <w:pPr>
        <w:ind w:firstLine="720"/>
        <w:rPr>
          <w:sz w:val="28"/>
          <w:szCs w:val="28"/>
        </w:rPr>
      </w:pPr>
      <w:r w:rsidRPr="00090CDE">
        <w:rPr>
          <w:sz w:val="28"/>
          <w:szCs w:val="28"/>
        </w:rPr>
        <w:t>Tāpat</w:t>
      </w:r>
      <w:r w:rsidR="00AA16EC" w:rsidRPr="00090CDE">
        <w:rPr>
          <w:sz w:val="28"/>
          <w:szCs w:val="28"/>
        </w:rPr>
        <w:t>,</w:t>
      </w:r>
      <w:r w:rsidRPr="00090CDE">
        <w:rPr>
          <w:sz w:val="28"/>
          <w:szCs w:val="28"/>
        </w:rPr>
        <w:t xml:space="preserve"> </w:t>
      </w:r>
      <w:r w:rsidR="00F654BD" w:rsidRPr="00090CDE">
        <w:rPr>
          <w:sz w:val="28"/>
          <w:szCs w:val="28"/>
        </w:rPr>
        <w:t>apkopojot inspekcijas rīcībā esošos stati</w:t>
      </w:r>
      <w:r w:rsidR="00C9195B" w:rsidRPr="00090CDE">
        <w:rPr>
          <w:sz w:val="28"/>
          <w:szCs w:val="28"/>
        </w:rPr>
        <w:t>stikas datus, kas atspoguļoti 18</w:t>
      </w:r>
      <w:r w:rsidR="00F654BD" w:rsidRPr="00090CDE">
        <w:rPr>
          <w:sz w:val="28"/>
          <w:szCs w:val="28"/>
        </w:rPr>
        <w:t>.diagrammā,</w:t>
      </w:r>
      <w:r w:rsidRPr="00090CDE">
        <w:rPr>
          <w:sz w:val="28"/>
          <w:szCs w:val="28"/>
        </w:rPr>
        <w:t xml:space="preserve"> konstatēts, ka </w:t>
      </w:r>
      <w:r w:rsidR="006C75C0" w:rsidRPr="00090CDE">
        <w:rPr>
          <w:sz w:val="28"/>
          <w:szCs w:val="28"/>
        </w:rPr>
        <w:t>2015</w:t>
      </w:r>
      <w:r w:rsidR="00D934D4" w:rsidRPr="00090CDE">
        <w:rPr>
          <w:sz w:val="28"/>
          <w:szCs w:val="28"/>
        </w:rPr>
        <w:t>.gadā</w:t>
      </w:r>
      <w:r w:rsidR="00AA16EC" w:rsidRPr="00090CDE">
        <w:rPr>
          <w:sz w:val="28"/>
          <w:szCs w:val="28"/>
        </w:rPr>
        <w:t xml:space="preserve"> attiecībā uz ai</w:t>
      </w:r>
      <w:r w:rsidR="00632646" w:rsidRPr="00090CDE">
        <w:rPr>
          <w:sz w:val="28"/>
          <w:szCs w:val="28"/>
        </w:rPr>
        <w:t>z</w:t>
      </w:r>
      <w:r w:rsidR="00AA16EC" w:rsidRPr="00090CDE">
        <w:rPr>
          <w:sz w:val="28"/>
          <w:szCs w:val="28"/>
        </w:rPr>
        <w:t>bildņu iecelšanu</w:t>
      </w:r>
      <w:r w:rsidR="00D934D4" w:rsidRPr="00090CDE">
        <w:rPr>
          <w:sz w:val="28"/>
          <w:szCs w:val="28"/>
        </w:rPr>
        <w:t xml:space="preserve"> </w:t>
      </w:r>
      <w:r w:rsidR="00AA16EC" w:rsidRPr="00090CDE">
        <w:rPr>
          <w:sz w:val="28"/>
          <w:szCs w:val="28"/>
        </w:rPr>
        <w:t xml:space="preserve">saglabājušās līdzīgas tendences, kādas bija novērojamas </w:t>
      </w:r>
      <w:r w:rsidR="00D934D4" w:rsidRPr="00090CDE">
        <w:rPr>
          <w:sz w:val="28"/>
          <w:szCs w:val="28"/>
        </w:rPr>
        <w:t>2012.</w:t>
      </w:r>
      <w:r w:rsidR="006C75C0" w:rsidRPr="00090CDE">
        <w:rPr>
          <w:sz w:val="28"/>
          <w:szCs w:val="28"/>
        </w:rPr>
        <w:t>, 2013. un 2014</w:t>
      </w:r>
      <w:r w:rsidR="00D934D4" w:rsidRPr="00090CDE">
        <w:rPr>
          <w:sz w:val="28"/>
          <w:szCs w:val="28"/>
        </w:rPr>
        <w:t>.gadā</w:t>
      </w:r>
      <w:r w:rsidR="006C75C0" w:rsidRPr="00090CDE">
        <w:rPr>
          <w:sz w:val="28"/>
          <w:szCs w:val="28"/>
        </w:rPr>
        <w:t>, proti, 82,19</w:t>
      </w:r>
      <w:r w:rsidR="00AA16EC" w:rsidRPr="00090CDE">
        <w:rPr>
          <w:sz w:val="28"/>
          <w:szCs w:val="28"/>
        </w:rPr>
        <w:t>% gadījumu ieceltais ai</w:t>
      </w:r>
      <w:r w:rsidR="00821D33" w:rsidRPr="00090CDE">
        <w:rPr>
          <w:sz w:val="28"/>
          <w:szCs w:val="28"/>
        </w:rPr>
        <w:t>z</w:t>
      </w:r>
      <w:r w:rsidR="00AA16EC" w:rsidRPr="00090CDE">
        <w:rPr>
          <w:sz w:val="28"/>
          <w:szCs w:val="28"/>
        </w:rPr>
        <w:t>bildnis ir radinieks un</w:t>
      </w:r>
      <w:r w:rsidR="00BF3495" w:rsidRPr="00090CDE">
        <w:rPr>
          <w:sz w:val="28"/>
          <w:szCs w:val="28"/>
        </w:rPr>
        <w:t xml:space="preserve"> 17,80</w:t>
      </w:r>
      <w:r w:rsidR="00AA16EC" w:rsidRPr="00090CDE">
        <w:rPr>
          <w:sz w:val="28"/>
          <w:szCs w:val="28"/>
        </w:rPr>
        <w:t xml:space="preserve">% gadījumos par aizbildni ieceltā persona nav bērna radinieks. </w:t>
      </w:r>
      <w:r w:rsidR="00BF3495" w:rsidRPr="00090CDE">
        <w:rPr>
          <w:sz w:val="28"/>
          <w:szCs w:val="28"/>
        </w:rPr>
        <w:t>Proti, 2015</w:t>
      </w:r>
      <w:r w:rsidR="00AA16EC" w:rsidRPr="00090CDE">
        <w:rPr>
          <w:sz w:val="28"/>
          <w:szCs w:val="28"/>
        </w:rPr>
        <w:t>.gadā kopumā bērnam par a</w:t>
      </w:r>
      <w:r w:rsidR="00BF3495" w:rsidRPr="00090CDE">
        <w:rPr>
          <w:sz w:val="28"/>
          <w:szCs w:val="28"/>
        </w:rPr>
        <w:t>izbildni pirmreizēji iecelti 228 vecvecāki un 146</w:t>
      </w:r>
      <w:r w:rsidR="00AA16EC" w:rsidRPr="00090CDE">
        <w:rPr>
          <w:sz w:val="28"/>
          <w:szCs w:val="28"/>
        </w:rPr>
        <w:t xml:space="preserve"> aizbildņi, kuri ir </w:t>
      </w:r>
      <w:r w:rsidR="00BF3495" w:rsidRPr="00090CDE">
        <w:rPr>
          <w:sz w:val="28"/>
          <w:szCs w:val="28"/>
        </w:rPr>
        <w:t>citi bērna radinieki, kopumā 374</w:t>
      </w:r>
      <w:r w:rsidR="00AA16EC" w:rsidRPr="00090CDE">
        <w:rPr>
          <w:sz w:val="28"/>
          <w:szCs w:val="28"/>
        </w:rPr>
        <w:t xml:space="preserve"> per</w:t>
      </w:r>
      <w:r w:rsidR="00821D33" w:rsidRPr="00090CDE">
        <w:rPr>
          <w:sz w:val="28"/>
          <w:szCs w:val="28"/>
        </w:rPr>
        <w:t>sonas. Tāpat bāriņtiesas snieguš</w:t>
      </w:r>
      <w:r w:rsidR="00BF3495" w:rsidRPr="00090CDE">
        <w:rPr>
          <w:sz w:val="28"/>
          <w:szCs w:val="28"/>
        </w:rPr>
        <w:t>as datus par 81</w:t>
      </w:r>
      <w:r w:rsidR="00AA16EC" w:rsidRPr="00090CDE">
        <w:rPr>
          <w:sz w:val="28"/>
          <w:szCs w:val="28"/>
        </w:rPr>
        <w:t xml:space="preserve"> p</w:t>
      </w:r>
      <w:r w:rsidR="00821D33" w:rsidRPr="00090CDE">
        <w:rPr>
          <w:sz w:val="28"/>
          <w:szCs w:val="28"/>
        </w:rPr>
        <w:t>ersonām, kuras nav bērnu radin</w:t>
      </w:r>
      <w:r w:rsidR="00AA16EC" w:rsidRPr="00090CDE">
        <w:rPr>
          <w:sz w:val="28"/>
          <w:szCs w:val="28"/>
        </w:rPr>
        <w:t>ieki un bērniem ieceltas no citu peronu vidus.</w:t>
      </w:r>
      <w:r w:rsidR="00BE61C1" w:rsidRPr="00090CDE">
        <w:rPr>
          <w:sz w:val="28"/>
          <w:szCs w:val="28"/>
        </w:rPr>
        <w:t xml:space="preserve"> </w:t>
      </w:r>
      <w:r w:rsidR="00F17BEE" w:rsidRPr="00090CDE">
        <w:rPr>
          <w:sz w:val="28"/>
          <w:szCs w:val="28"/>
        </w:rPr>
        <w:t>(Deta</w:t>
      </w:r>
      <w:r w:rsidR="007B1BDE" w:rsidRPr="00090CDE">
        <w:rPr>
          <w:sz w:val="28"/>
          <w:szCs w:val="28"/>
        </w:rPr>
        <w:t>lizētu datu apkopojumu</w:t>
      </w:r>
      <w:r w:rsidR="00BE61C1" w:rsidRPr="00090CDE">
        <w:rPr>
          <w:sz w:val="28"/>
          <w:szCs w:val="28"/>
        </w:rPr>
        <w:t xml:space="preserve"> par ieceltajiem aizbildņiem pēc radniecības ar bērnu </w:t>
      </w:r>
      <w:r w:rsidR="00BF3495" w:rsidRPr="00090CDE">
        <w:rPr>
          <w:sz w:val="28"/>
          <w:szCs w:val="28"/>
        </w:rPr>
        <w:t xml:space="preserve">pēdējo četru </w:t>
      </w:r>
      <w:r w:rsidR="00BE61C1" w:rsidRPr="00090CDE">
        <w:rPr>
          <w:sz w:val="28"/>
          <w:szCs w:val="28"/>
        </w:rPr>
        <w:t>gadu griezumā</w:t>
      </w:r>
      <w:r w:rsidR="00BF3495" w:rsidRPr="00090CDE">
        <w:rPr>
          <w:sz w:val="28"/>
          <w:szCs w:val="28"/>
        </w:rPr>
        <w:t xml:space="preserve"> skatīt 18</w:t>
      </w:r>
      <w:r w:rsidR="007B1BDE" w:rsidRPr="00090CDE">
        <w:rPr>
          <w:sz w:val="28"/>
          <w:szCs w:val="28"/>
        </w:rPr>
        <w:t>.diagrammā</w:t>
      </w:r>
      <w:r w:rsidR="00F17BEE" w:rsidRPr="00090CDE">
        <w:rPr>
          <w:sz w:val="28"/>
          <w:szCs w:val="28"/>
        </w:rPr>
        <w:t>)</w:t>
      </w:r>
      <w:r w:rsidR="007B1BDE" w:rsidRPr="00090CDE">
        <w:rPr>
          <w:sz w:val="28"/>
          <w:szCs w:val="28"/>
        </w:rPr>
        <w:t>.</w:t>
      </w:r>
      <w:r w:rsidR="00BF3495" w:rsidRPr="00090CDE">
        <w:rPr>
          <w:sz w:val="28"/>
          <w:szCs w:val="28"/>
        </w:rPr>
        <w:t xml:space="preserve"> Analizējot statistikas datus dzimumu grizumā, konstatēts, ka lielākoties 2015.gadā par aizbildni ieceltas sievietes, proti, aizbildņa pienākumus uzņēmušās 394 sievietes un 61 vīrietis. </w:t>
      </w:r>
    </w:p>
    <w:p w:rsidR="00E60039" w:rsidRPr="00090CDE" w:rsidRDefault="00551F29" w:rsidP="00BF3495">
      <w:pPr>
        <w:jc w:val="right"/>
        <w:rPr>
          <w:b/>
          <w:sz w:val="26"/>
          <w:szCs w:val="26"/>
        </w:rPr>
      </w:pPr>
      <w:r w:rsidRPr="00090CDE">
        <w:rPr>
          <w:b/>
          <w:sz w:val="26"/>
          <w:szCs w:val="26"/>
        </w:rPr>
        <w:t>18</w:t>
      </w:r>
      <w:r w:rsidR="00B20380" w:rsidRPr="00090CDE">
        <w:rPr>
          <w:b/>
          <w:sz w:val="26"/>
          <w:szCs w:val="26"/>
        </w:rPr>
        <w:t>.diagramma</w:t>
      </w:r>
    </w:p>
    <w:p w:rsidR="00DD35BB" w:rsidRPr="00090CDE" w:rsidRDefault="00C9195B" w:rsidP="008D4EFD">
      <w:pPr>
        <w:jc w:val="center"/>
      </w:pPr>
      <w:r w:rsidRPr="00090CDE">
        <w:rPr>
          <w:noProof/>
          <w:lang w:val="en-GB" w:eastAsia="en-GB"/>
        </w:rPr>
        <w:drawing>
          <wp:inline distT="0" distB="0" distL="0" distR="0" wp14:anchorId="2CBC33D8" wp14:editId="4B1D9FFD">
            <wp:extent cx="5781675" cy="3151505"/>
            <wp:effectExtent l="0" t="0" r="9525" b="1079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AB6762" w:rsidRPr="00090CDE" w:rsidRDefault="008E2FCB" w:rsidP="00F16C65">
      <w:pPr>
        <w:pStyle w:val="Heading2"/>
      </w:pPr>
      <w:bookmarkStart w:id="16" w:name="_Toc455138994"/>
      <w:r w:rsidRPr="00090CDE">
        <w:lastRenderedPageBreak/>
        <w:t>4</w:t>
      </w:r>
      <w:r w:rsidR="00052087" w:rsidRPr="00090CDE">
        <w:t>.3.Aizbildnības izbeigšanās pārskata gadā</w:t>
      </w:r>
      <w:bookmarkEnd w:id="16"/>
    </w:p>
    <w:p w:rsidR="00E53DDF" w:rsidRPr="00090CDE" w:rsidRDefault="00E53DDF" w:rsidP="003B09B4">
      <w:pPr>
        <w:pStyle w:val="tv213"/>
        <w:spacing w:before="0" w:beforeAutospacing="0" w:after="0" w:afterAutospacing="0"/>
        <w:ind w:firstLine="720"/>
        <w:jc w:val="both"/>
        <w:rPr>
          <w:sz w:val="28"/>
          <w:szCs w:val="28"/>
        </w:rPr>
      </w:pPr>
    </w:p>
    <w:p w:rsidR="00787487" w:rsidRPr="00090CDE" w:rsidRDefault="00843B84" w:rsidP="005039B1">
      <w:pPr>
        <w:pStyle w:val="tv213"/>
        <w:spacing w:before="0" w:beforeAutospacing="0" w:after="0" w:afterAutospacing="0"/>
        <w:ind w:firstLine="720"/>
        <w:jc w:val="both"/>
        <w:rPr>
          <w:sz w:val="28"/>
          <w:szCs w:val="28"/>
        </w:rPr>
      </w:pPr>
      <w:r w:rsidRPr="00090CDE">
        <w:rPr>
          <w:sz w:val="28"/>
          <w:szCs w:val="28"/>
        </w:rPr>
        <w:t xml:space="preserve">Saskaņā ar Civillikuma 341.pantā noteikto, aizbildnība izbeidzas aizbildnim: 1) </w:t>
      </w:r>
      <w:r w:rsidR="00787487" w:rsidRPr="00090CDE">
        <w:rPr>
          <w:sz w:val="28"/>
          <w:szCs w:val="28"/>
        </w:rPr>
        <w:t xml:space="preserve">ar viņa nāvi; 2) ja viņu </w:t>
      </w:r>
      <w:r w:rsidRPr="00090CDE">
        <w:rPr>
          <w:sz w:val="28"/>
          <w:szCs w:val="28"/>
        </w:rPr>
        <w:t>ar bāriņtiesas lēmumu</w:t>
      </w:r>
      <w:r w:rsidR="00787487" w:rsidRPr="00090CDE">
        <w:rPr>
          <w:sz w:val="28"/>
          <w:szCs w:val="28"/>
        </w:rPr>
        <w:t xml:space="preserve"> atlaiž no aizbildņa peinākumu pildīšanas sakarā ar nespēju pamatotu iemeslu dēļ pildīt aizbildņa pienākumus</w:t>
      </w:r>
      <w:r w:rsidRPr="00090CDE">
        <w:rPr>
          <w:sz w:val="28"/>
          <w:szCs w:val="28"/>
        </w:rPr>
        <w:t xml:space="preserve">; 3) </w:t>
      </w:r>
      <w:r w:rsidR="00787487" w:rsidRPr="00090CDE">
        <w:rPr>
          <w:sz w:val="28"/>
          <w:szCs w:val="28"/>
        </w:rPr>
        <w:t>ja viņu atceļ no aizbildņa pienākumu pildīšanas</w:t>
      </w:r>
      <w:r w:rsidRPr="00090CDE">
        <w:rPr>
          <w:sz w:val="28"/>
          <w:szCs w:val="28"/>
        </w:rPr>
        <w:t xml:space="preserve">; 4) aizbildnības, kas nodibinātas ar zināmiem nosacījumiem </w:t>
      </w:r>
      <w:r w:rsidR="005039B1" w:rsidRPr="00090CDE">
        <w:rPr>
          <w:sz w:val="28"/>
          <w:szCs w:val="28"/>
        </w:rPr>
        <w:t xml:space="preserve">vai uz noteiktu laiku, - </w:t>
      </w:r>
      <w:r w:rsidRPr="00090CDE">
        <w:rPr>
          <w:sz w:val="28"/>
          <w:szCs w:val="28"/>
        </w:rPr>
        <w:t>iestājoties šiem nosacījumiem vai notekot noteiktajam laikam.</w:t>
      </w:r>
    </w:p>
    <w:p w:rsidR="00E53DDF" w:rsidRPr="00090CDE" w:rsidRDefault="00E53DDF" w:rsidP="003B09B4">
      <w:pPr>
        <w:pStyle w:val="tv213"/>
        <w:spacing w:before="0" w:beforeAutospacing="0" w:after="0" w:afterAutospacing="0"/>
        <w:ind w:firstLine="720"/>
        <w:jc w:val="both"/>
        <w:rPr>
          <w:sz w:val="28"/>
          <w:szCs w:val="28"/>
        </w:rPr>
      </w:pPr>
      <w:r w:rsidRPr="00090CDE">
        <w:rPr>
          <w:sz w:val="28"/>
          <w:szCs w:val="28"/>
        </w:rPr>
        <w:t>Bāriņtiesu likuma 31.pants paredz bāriņtiesas pienākumu pastāvīgi uzraudzīt aizbildņu rīcību bērna personisko un mantisko tiesību un interešu nodrošināšanā, tajā skaitā katru gadu pārbaudot aizbilstamā dzīves apstākļus aizbildņa ģimenē</w:t>
      </w:r>
      <w:r w:rsidR="007A3EC6" w:rsidRPr="00090CDE">
        <w:rPr>
          <w:sz w:val="28"/>
          <w:szCs w:val="28"/>
        </w:rPr>
        <w:t>, pārbaudot, vai aizbildnis pārvalda aizbilstamā mantu atbilstoši bērna interesēm un normatīvo aktu prasībām, kā arī uzraugot, vai aizbildnis gādā par sava aizbilstamā audzināšanu ar tādu pašu rūpību, ar kādu apzinīgi vecāki gādātu par sava bērna audzināšanu.</w:t>
      </w:r>
    </w:p>
    <w:p w:rsidR="001D7C7D" w:rsidRPr="00090CDE" w:rsidRDefault="00C13D04" w:rsidP="00E210E3">
      <w:pPr>
        <w:pStyle w:val="tv213"/>
        <w:spacing w:before="0" w:beforeAutospacing="0" w:after="0" w:afterAutospacing="0"/>
        <w:ind w:firstLine="720"/>
        <w:jc w:val="both"/>
        <w:rPr>
          <w:sz w:val="28"/>
          <w:szCs w:val="28"/>
        </w:rPr>
      </w:pPr>
      <w:r w:rsidRPr="00090CDE">
        <w:rPr>
          <w:sz w:val="28"/>
          <w:szCs w:val="28"/>
        </w:rPr>
        <w:t>Inspekcija apkopojusi bāriņtiesu iesniegtos datus par personu skaitu, kuras ar bāriņtiesas lēmumu atceltas no aizbildņa pienākumu pildīšanas nolaidīgas rīcības vai citu iemeslu dēļ.</w:t>
      </w:r>
      <w:r w:rsidR="00BD260C" w:rsidRPr="00090CDE">
        <w:rPr>
          <w:sz w:val="28"/>
          <w:szCs w:val="28"/>
        </w:rPr>
        <w:t xml:space="preserve"> Tās ir situācijas, kad bāriņtiesa atbilstoši Bāriņtiesu likuma 32.panta pirmās daļas 3.punktā noteiktajam lēmusi par aizbildņa atcelšanu, ja bāriņtiesa konstatējusi pārkāpumus aizbildņa rīcībā vai bērna interesēm neizdevīgu aizbildņa darbību. Piemēram, konstatēta aizbildņa vardarbība pret bērnu vai aizbildņa pārvaldības rezultātā bērnam radušies mantiski zaudējumi. Tāpat tie var būt gadījumi, kad bāriņtiesa pēc personas iecelšanas par aizbildni atklājusi Civillikuma 242.pantā minētos iemeslus, kuru dēļ personu nevarēja iecelt par aizbildni. Piemēram, bāriņtiesa konstatē, ka personai jau reiz ar tiesas spriedumu bijušas atņemtas aizgādības tiesības.</w:t>
      </w:r>
    </w:p>
    <w:p w:rsidR="00E210E3" w:rsidRPr="00090CDE" w:rsidRDefault="00E210E3" w:rsidP="00E210E3">
      <w:pPr>
        <w:pStyle w:val="tv213"/>
        <w:spacing w:before="0" w:beforeAutospacing="0" w:after="0" w:afterAutospacing="0"/>
        <w:ind w:firstLine="720"/>
        <w:jc w:val="both"/>
        <w:rPr>
          <w:sz w:val="28"/>
          <w:szCs w:val="28"/>
        </w:rPr>
      </w:pPr>
    </w:p>
    <w:p w:rsidR="00F717E9" w:rsidRPr="00090CDE" w:rsidRDefault="001D7C7D" w:rsidP="00E210E3">
      <w:pPr>
        <w:jc w:val="right"/>
        <w:rPr>
          <w:b/>
          <w:sz w:val="26"/>
          <w:szCs w:val="26"/>
        </w:rPr>
      </w:pPr>
      <w:r w:rsidRPr="00090CDE">
        <w:rPr>
          <w:b/>
          <w:sz w:val="26"/>
          <w:szCs w:val="26"/>
        </w:rPr>
        <w:t>19</w:t>
      </w:r>
      <w:r w:rsidR="00B20380" w:rsidRPr="00090CDE">
        <w:rPr>
          <w:b/>
          <w:sz w:val="26"/>
          <w:szCs w:val="26"/>
        </w:rPr>
        <w:t>.</w:t>
      </w:r>
      <w:r w:rsidR="00CD2C1D" w:rsidRPr="00090CDE">
        <w:rPr>
          <w:b/>
          <w:sz w:val="26"/>
          <w:szCs w:val="26"/>
        </w:rPr>
        <w:t>diagramma</w:t>
      </w:r>
    </w:p>
    <w:p w:rsidR="00F717E9" w:rsidRPr="00090CDE" w:rsidRDefault="00F717E9" w:rsidP="00505C5A">
      <w:pPr>
        <w:pStyle w:val="tv213"/>
        <w:spacing w:before="0" w:beforeAutospacing="0" w:after="0" w:afterAutospacing="0"/>
        <w:ind w:firstLine="720"/>
        <w:jc w:val="center"/>
        <w:rPr>
          <w:sz w:val="28"/>
          <w:szCs w:val="28"/>
        </w:rPr>
      </w:pPr>
      <w:r w:rsidRPr="00090CDE">
        <w:rPr>
          <w:noProof/>
          <w:lang w:val="en-GB" w:eastAsia="en-GB"/>
        </w:rPr>
        <w:drawing>
          <wp:inline distT="0" distB="0" distL="0" distR="0" wp14:anchorId="4A8F816E" wp14:editId="7E652E9A">
            <wp:extent cx="5388610" cy="3463047"/>
            <wp:effectExtent l="0" t="0" r="2540" b="4445"/>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717E9" w:rsidRPr="00090CDE" w:rsidRDefault="00F717E9" w:rsidP="00497289">
      <w:pPr>
        <w:pStyle w:val="tv213"/>
        <w:spacing w:before="0" w:beforeAutospacing="0" w:after="0" w:afterAutospacing="0"/>
        <w:ind w:firstLine="720"/>
        <w:jc w:val="both"/>
        <w:rPr>
          <w:sz w:val="28"/>
          <w:szCs w:val="28"/>
        </w:rPr>
      </w:pPr>
    </w:p>
    <w:p w:rsidR="00505C5A" w:rsidRPr="00090CDE" w:rsidRDefault="00505C5A" w:rsidP="00EB7468">
      <w:pPr>
        <w:pStyle w:val="tv213"/>
        <w:spacing w:before="0" w:beforeAutospacing="0" w:after="0" w:afterAutospacing="0"/>
        <w:ind w:firstLine="720"/>
        <w:jc w:val="both"/>
        <w:rPr>
          <w:sz w:val="28"/>
          <w:szCs w:val="28"/>
        </w:rPr>
      </w:pPr>
      <w:r w:rsidRPr="00090CDE">
        <w:rPr>
          <w:sz w:val="28"/>
          <w:szCs w:val="28"/>
        </w:rPr>
        <w:t>Kā redzams 19</w:t>
      </w:r>
      <w:r w:rsidR="00E170D2" w:rsidRPr="00090CDE">
        <w:rPr>
          <w:sz w:val="28"/>
          <w:szCs w:val="28"/>
        </w:rPr>
        <w:t>.diagrammā</w:t>
      </w:r>
      <w:r w:rsidR="00FD38F1" w:rsidRPr="00090CDE">
        <w:rPr>
          <w:sz w:val="28"/>
          <w:szCs w:val="28"/>
        </w:rPr>
        <w:t xml:space="preserve">, </w:t>
      </w:r>
      <w:r w:rsidRPr="00090CDE">
        <w:rPr>
          <w:sz w:val="28"/>
          <w:szCs w:val="28"/>
        </w:rPr>
        <w:t xml:space="preserve">laika periodā no 2012.gada līdz 2014.gadam, ieskaitot, </w:t>
      </w:r>
      <w:r w:rsidR="006755A9" w:rsidRPr="00090CDE">
        <w:rPr>
          <w:sz w:val="28"/>
          <w:szCs w:val="28"/>
        </w:rPr>
        <w:t>vērojama tendence katru gadu nedaudz samazināties to gadījumu skaitam</w:t>
      </w:r>
      <w:r w:rsidR="00FD38F1" w:rsidRPr="00090CDE">
        <w:rPr>
          <w:sz w:val="28"/>
          <w:szCs w:val="28"/>
        </w:rPr>
        <w:t>, kad bāriņtiesa konstatējusi aizbildnības pārvaldības interesēm neizdevīgu aizbildņa darbību, proti, 2012.gadā 83 personas atceltas no aizbildņ</w:t>
      </w:r>
      <w:r w:rsidR="006755A9" w:rsidRPr="00090CDE">
        <w:rPr>
          <w:sz w:val="28"/>
          <w:szCs w:val="28"/>
        </w:rPr>
        <w:t>a pienākumu pildīšanas,</w:t>
      </w:r>
      <w:r w:rsidR="00FD38F1" w:rsidRPr="00090CDE">
        <w:rPr>
          <w:sz w:val="28"/>
          <w:szCs w:val="28"/>
        </w:rPr>
        <w:t xml:space="preserve"> 2013.gadā atceltas 62 personas, t.i. par</w:t>
      </w:r>
      <w:r w:rsidR="006755A9" w:rsidRPr="00090CDE">
        <w:rPr>
          <w:sz w:val="28"/>
          <w:szCs w:val="28"/>
        </w:rPr>
        <w:t xml:space="preserve"> 21 personu mazāk kā 2012.gadā. Savukārt 2014.gadā minētā satura lēmums pieņemts attiecībā uz 48 personām, t.i. par 14 personām mazāk nekā iepriekšējā gadā. </w:t>
      </w:r>
      <w:r w:rsidRPr="00090CDE">
        <w:rPr>
          <w:sz w:val="28"/>
          <w:szCs w:val="28"/>
        </w:rPr>
        <w:t xml:space="preserve">Atšķirīga situācija konstatējama 2015.gadā, proti, noskaidrots, ka bāriņtiesas, aizstāvot bērnu intereses, atcēlušas no aizbildņa pienākumu pildīšanas 59 personas, t.i.par 11 personām vairāk nekā iepriekšējā gadā. </w:t>
      </w:r>
    </w:p>
    <w:p w:rsidR="00DB20DE" w:rsidRPr="00090CDE" w:rsidRDefault="00CB3656" w:rsidP="00497289">
      <w:pPr>
        <w:pStyle w:val="tv213"/>
        <w:spacing w:before="0" w:beforeAutospacing="0" w:after="0" w:afterAutospacing="0"/>
        <w:ind w:firstLine="720"/>
        <w:jc w:val="both"/>
        <w:rPr>
          <w:sz w:val="28"/>
          <w:szCs w:val="28"/>
        </w:rPr>
      </w:pPr>
      <w:r w:rsidRPr="00090CDE">
        <w:rPr>
          <w:sz w:val="28"/>
          <w:szCs w:val="28"/>
        </w:rPr>
        <w:t xml:space="preserve">No kopējā aizbildņu skaita </w:t>
      </w:r>
      <w:r w:rsidR="00EB7468" w:rsidRPr="00090CDE">
        <w:rPr>
          <w:sz w:val="28"/>
          <w:szCs w:val="28"/>
        </w:rPr>
        <w:t>2015.</w:t>
      </w:r>
      <w:r w:rsidR="00497289" w:rsidRPr="00090CDE">
        <w:rPr>
          <w:sz w:val="28"/>
          <w:szCs w:val="28"/>
        </w:rPr>
        <w:t>gadā atcelto aizbildņu īpatsvars pārskata gada ietva</w:t>
      </w:r>
      <w:r w:rsidR="00EB7468" w:rsidRPr="00090CDE">
        <w:rPr>
          <w:sz w:val="28"/>
          <w:szCs w:val="28"/>
        </w:rPr>
        <w:t>ros sastāda 12,96</w:t>
      </w:r>
      <w:r w:rsidR="00497289" w:rsidRPr="00090CDE">
        <w:rPr>
          <w:sz w:val="28"/>
          <w:szCs w:val="28"/>
        </w:rPr>
        <w:t>%. Gadījumi, kad bāriņt</w:t>
      </w:r>
      <w:r w:rsidR="00106DBB" w:rsidRPr="00090CDE">
        <w:rPr>
          <w:sz w:val="28"/>
          <w:szCs w:val="28"/>
        </w:rPr>
        <w:t>iesai savas kompetences iet</w:t>
      </w:r>
      <w:r w:rsidR="00497289" w:rsidRPr="00090CDE">
        <w:rPr>
          <w:sz w:val="28"/>
          <w:szCs w:val="28"/>
        </w:rPr>
        <w:t>v</w:t>
      </w:r>
      <w:r w:rsidR="00106DBB" w:rsidRPr="00090CDE">
        <w:rPr>
          <w:sz w:val="28"/>
          <w:szCs w:val="28"/>
        </w:rPr>
        <w:t>a</w:t>
      </w:r>
      <w:r w:rsidR="00497289" w:rsidRPr="00090CDE">
        <w:rPr>
          <w:sz w:val="28"/>
          <w:szCs w:val="28"/>
        </w:rPr>
        <w:t>ros n</w:t>
      </w:r>
      <w:r w:rsidRPr="00090CDE">
        <w:rPr>
          <w:sz w:val="28"/>
          <w:szCs w:val="28"/>
        </w:rPr>
        <w:t>epieciešams lemt par aizbildņa,</w:t>
      </w:r>
      <w:r w:rsidR="00497289" w:rsidRPr="00090CDE">
        <w:rPr>
          <w:sz w:val="28"/>
          <w:szCs w:val="28"/>
        </w:rPr>
        <w:t xml:space="preserve"> kurš aizvieto bērnam vecākus, atcelšanu, </w:t>
      </w:r>
      <w:r w:rsidR="00371017" w:rsidRPr="00090CDE">
        <w:rPr>
          <w:sz w:val="28"/>
          <w:szCs w:val="28"/>
        </w:rPr>
        <w:t xml:space="preserve">norāda uz to, </w:t>
      </w:r>
      <w:r w:rsidR="00E170D2" w:rsidRPr="00090CDE">
        <w:rPr>
          <w:sz w:val="28"/>
          <w:szCs w:val="28"/>
        </w:rPr>
        <w:t xml:space="preserve">cik būtiski ir pastāvīgi veikt nepieciešamos pasākumus aizbildnības uzraudzībā, </w:t>
      </w:r>
      <w:r w:rsidR="00371017" w:rsidRPr="00090CDE">
        <w:rPr>
          <w:sz w:val="28"/>
          <w:szCs w:val="28"/>
        </w:rPr>
        <w:t xml:space="preserve">jau pirms aizbildnības nodibināšanas rūpīgi izvērtēt potenciālo aizbildņu spējas un īpašības pildīt attiecīgus aizbildņa pienākumus, kā arī turpmākajā darbībā raudzīties, lai </w:t>
      </w:r>
      <w:r w:rsidR="00DB20DE" w:rsidRPr="00090CDE">
        <w:rPr>
          <w:sz w:val="28"/>
          <w:szCs w:val="28"/>
        </w:rPr>
        <w:t xml:space="preserve">cita aizbildņa aizbildnības pārvaldība </w:t>
      </w:r>
      <w:r w:rsidR="00A25898" w:rsidRPr="00090CDE">
        <w:rPr>
          <w:sz w:val="28"/>
          <w:szCs w:val="28"/>
        </w:rPr>
        <w:t xml:space="preserve">vai audžuģimenes rīcība </w:t>
      </w:r>
      <w:r w:rsidR="00DB20DE" w:rsidRPr="00090CDE">
        <w:rPr>
          <w:sz w:val="28"/>
          <w:szCs w:val="28"/>
        </w:rPr>
        <w:t>atbilst bērna vislabākajām interesēm, ņemot vērā, ka situācija, kad aizbildnis ir atcelts pārkāpumu dēļ, var būt bērnam traumatiska</w:t>
      </w:r>
      <w:r w:rsidR="00E170D2" w:rsidRPr="00090CDE">
        <w:rPr>
          <w:sz w:val="28"/>
          <w:szCs w:val="28"/>
        </w:rPr>
        <w:t>,</w:t>
      </w:r>
      <w:r w:rsidR="00DB20DE" w:rsidRPr="00090CDE">
        <w:rPr>
          <w:sz w:val="28"/>
          <w:szCs w:val="28"/>
        </w:rPr>
        <w:t xml:space="preserve"> un būtiski ietekmēt viņa psihoemocionālo stāvokli.</w:t>
      </w:r>
    </w:p>
    <w:p w:rsidR="000D1F30" w:rsidRPr="00090CDE" w:rsidRDefault="000D1F30" w:rsidP="00C15185">
      <w:pPr>
        <w:pStyle w:val="tv213"/>
        <w:spacing w:before="0" w:beforeAutospacing="0" w:after="0" w:afterAutospacing="0"/>
        <w:ind w:firstLine="720"/>
        <w:jc w:val="both"/>
        <w:rPr>
          <w:sz w:val="28"/>
          <w:szCs w:val="28"/>
        </w:rPr>
      </w:pPr>
      <w:r w:rsidRPr="00090CDE">
        <w:rPr>
          <w:sz w:val="28"/>
          <w:szCs w:val="28"/>
        </w:rPr>
        <w:t>Vienlaikus apkopojot</w:t>
      </w:r>
      <w:r w:rsidR="008724DC" w:rsidRPr="00090CDE">
        <w:rPr>
          <w:sz w:val="28"/>
          <w:szCs w:val="28"/>
        </w:rPr>
        <w:t xml:space="preserve"> datus</w:t>
      </w:r>
      <w:r w:rsidR="00EB7468" w:rsidRPr="00090CDE">
        <w:rPr>
          <w:sz w:val="28"/>
          <w:szCs w:val="28"/>
        </w:rPr>
        <w:t xml:space="preserve"> par 2015</w:t>
      </w:r>
      <w:r w:rsidRPr="00090CDE">
        <w:rPr>
          <w:sz w:val="28"/>
          <w:szCs w:val="28"/>
        </w:rPr>
        <w:t>.gadu</w:t>
      </w:r>
      <w:r w:rsidR="008724DC" w:rsidRPr="00090CDE">
        <w:rPr>
          <w:sz w:val="28"/>
          <w:szCs w:val="28"/>
        </w:rPr>
        <w:t xml:space="preserve">, konstatēts, ka </w:t>
      </w:r>
      <w:r w:rsidR="00D2697A" w:rsidRPr="00090CDE">
        <w:rPr>
          <w:sz w:val="28"/>
          <w:szCs w:val="28"/>
        </w:rPr>
        <w:t>no kopējā atcelto personu skaita,</w:t>
      </w:r>
      <w:r w:rsidRPr="00090CDE">
        <w:rPr>
          <w:sz w:val="28"/>
          <w:szCs w:val="28"/>
        </w:rPr>
        <w:t xml:space="preserve"> proti,</w:t>
      </w:r>
      <w:r w:rsidR="00D2697A" w:rsidRPr="00090CDE">
        <w:rPr>
          <w:sz w:val="28"/>
          <w:szCs w:val="28"/>
        </w:rPr>
        <w:t xml:space="preserve"> </w:t>
      </w:r>
      <w:r w:rsidR="00EB7468" w:rsidRPr="00090CDE">
        <w:rPr>
          <w:sz w:val="28"/>
          <w:szCs w:val="28"/>
        </w:rPr>
        <w:t>59</w:t>
      </w:r>
      <w:r w:rsidR="00106DBB" w:rsidRPr="00090CDE">
        <w:rPr>
          <w:sz w:val="28"/>
          <w:szCs w:val="28"/>
        </w:rPr>
        <w:t xml:space="preserve"> aizbil</w:t>
      </w:r>
      <w:r w:rsidR="00EB7468" w:rsidRPr="00090CDE">
        <w:rPr>
          <w:sz w:val="28"/>
          <w:szCs w:val="28"/>
        </w:rPr>
        <w:t>dņiem, 27,11</w:t>
      </w:r>
      <w:r w:rsidRPr="00090CDE">
        <w:rPr>
          <w:sz w:val="28"/>
          <w:szCs w:val="28"/>
        </w:rPr>
        <w:t>% gadījumu</w:t>
      </w:r>
      <w:r w:rsidR="008724DC" w:rsidRPr="00090CDE">
        <w:rPr>
          <w:sz w:val="28"/>
          <w:szCs w:val="28"/>
        </w:rPr>
        <w:t xml:space="preserve"> personas, kas atceltas no aizbildņa pienākumu pildīšanas ir bērna vecvecāki</w:t>
      </w:r>
      <w:r w:rsidRPr="00090CDE">
        <w:rPr>
          <w:sz w:val="28"/>
          <w:szCs w:val="28"/>
        </w:rPr>
        <w:t xml:space="preserve">, </w:t>
      </w:r>
      <w:r w:rsidR="00EB7468" w:rsidRPr="00090CDE">
        <w:rPr>
          <w:sz w:val="28"/>
          <w:szCs w:val="28"/>
        </w:rPr>
        <w:t>30,50</w:t>
      </w:r>
      <w:r w:rsidRPr="00090CDE">
        <w:rPr>
          <w:sz w:val="28"/>
          <w:szCs w:val="28"/>
        </w:rPr>
        <w:t>% gadījumā</w:t>
      </w:r>
      <w:r w:rsidR="008724DC" w:rsidRPr="00090CDE">
        <w:rPr>
          <w:b/>
          <w:sz w:val="28"/>
          <w:szCs w:val="28"/>
        </w:rPr>
        <w:t xml:space="preserve">- </w:t>
      </w:r>
      <w:r w:rsidR="008724DC" w:rsidRPr="00090CDE">
        <w:rPr>
          <w:sz w:val="28"/>
          <w:szCs w:val="28"/>
        </w:rPr>
        <w:t>citi bērna radinieki</w:t>
      </w:r>
      <w:r w:rsidR="00D2697A" w:rsidRPr="00090CDE">
        <w:rPr>
          <w:sz w:val="28"/>
          <w:szCs w:val="28"/>
        </w:rPr>
        <w:t>,</w:t>
      </w:r>
      <w:r w:rsidR="00EB7468" w:rsidRPr="00090CDE">
        <w:rPr>
          <w:sz w:val="28"/>
          <w:szCs w:val="28"/>
        </w:rPr>
        <w:t xml:space="preserve"> bet 42,37% gadījumos</w:t>
      </w:r>
      <w:r w:rsidR="00D2697A" w:rsidRPr="00090CDE">
        <w:rPr>
          <w:b/>
          <w:sz w:val="28"/>
          <w:szCs w:val="28"/>
        </w:rPr>
        <w:t xml:space="preserve">- </w:t>
      </w:r>
      <w:r w:rsidR="00D2697A" w:rsidRPr="00090CDE">
        <w:rPr>
          <w:sz w:val="28"/>
          <w:szCs w:val="28"/>
        </w:rPr>
        <w:t>citas personas, kas nav bērna radinieki. Ņemot vērā, ka pēc statistikas rādītājiem lielākais personu skaits, kas iecelti par aizbildņiem, ir tieši bērnu radinieki, tad skaitliski lielāks ir arī to gadījumu skaits, kad bāriņtiesa konstatējusi pārkāpumus tieši radinieku,</w:t>
      </w:r>
      <w:r w:rsidR="00873D56" w:rsidRPr="00090CDE">
        <w:rPr>
          <w:sz w:val="28"/>
          <w:szCs w:val="28"/>
        </w:rPr>
        <w:t xml:space="preserve"> </w:t>
      </w:r>
      <w:r w:rsidR="00D2697A" w:rsidRPr="00090CDE">
        <w:rPr>
          <w:sz w:val="28"/>
          <w:szCs w:val="28"/>
        </w:rPr>
        <w:t xml:space="preserve">kas ir bērna aizbildņi, rīcībā. </w:t>
      </w:r>
      <w:r w:rsidR="00EB7468" w:rsidRPr="00090CDE">
        <w:rPr>
          <w:sz w:val="28"/>
          <w:szCs w:val="28"/>
        </w:rPr>
        <w:t>Salīdzinot ar 2014</w:t>
      </w:r>
      <w:r w:rsidR="00942766" w:rsidRPr="00090CDE">
        <w:rPr>
          <w:sz w:val="28"/>
          <w:szCs w:val="28"/>
        </w:rPr>
        <w:t xml:space="preserve">.gada rādītājiem, konstatējams, </w:t>
      </w:r>
      <w:r w:rsidR="00EB7468" w:rsidRPr="00090CDE">
        <w:rPr>
          <w:sz w:val="28"/>
          <w:szCs w:val="28"/>
        </w:rPr>
        <w:t>ka</w:t>
      </w:r>
      <w:r w:rsidR="00942766" w:rsidRPr="00090CDE">
        <w:rPr>
          <w:sz w:val="28"/>
          <w:szCs w:val="28"/>
        </w:rPr>
        <w:t xml:space="preserve"> palielinājies to gadījumu s</w:t>
      </w:r>
      <w:r w:rsidR="00106DBB" w:rsidRPr="00090CDE">
        <w:rPr>
          <w:sz w:val="28"/>
          <w:szCs w:val="28"/>
        </w:rPr>
        <w:t>kaits, kad pārkāpumi kons</w:t>
      </w:r>
      <w:r w:rsidR="00942766" w:rsidRPr="00090CDE">
        <w:rPr>
          <w:sz w:val="28"/>
          <w:szCs w:val="28"/>
        </w:rPr>
        <w:t>ta</w:t>
      </w:r>
      <w:r w:rsidR="00106DBB" w:rsidRPr="00090CDE">
        <w:rPr>
          <w:sz w:val="28"/>
          <w:szCs w:val="28"/>
        </w:rPr>
        <w:t>t</w:t>
      </w:r>
      <w:r w:rsidR="00942766" w:rsidRPr="00090CDE">
        <w:rPr>
          <w:sz w:val="28"/>
          <w:szCs w:val="28"/>
        </w:rPr>
        <w:t xml:space="preserve">ēti citu personu, kas nav bērna radinieki rīcībā un bāriņtiesa pieņēmusi lēmumu atcelt šīs personas no </w:t>
      </w:r>
      <w:r w:rsidR="00EB7468" w:rsidRPr="00090CDE">
        <w:rPr>
          <w:sz w:val="28"/>
          <w:szCs w:val="28"/>
        </w:rPr>
        <w:t>aizbildņa pienākumu pildīšanas, proti, ja 2014.gadā atceltas 13 personas, kas nav bērna radinieki, no aizbildņa pienākumu pildīšanas, tad 2015.gadā atceltas jau 25 personas.</w:t>
      </w:r>
    </w:p>
    <w:p w:rsidR="00BB0270" w:rsidRPr="00090CDE" w:rsidRDefault="00A25898" w:rsidP="00544E6F">
      <w:pPr>
        <w:pStyle w:val="tv213"/>
        <w:spacing w:before="0" w:beforeAutospacing="0" w:after="0" w:afterAutospacing="0"/>
        <w:ind w:firstLine="720"/>
        <w:jc w:val="both"/>
        <w:rPr>
          <w:sz w:val="28"/>
          <w:szCs w:val="28"/>
        </w:rPr>
      </w:pPr>
      <w:r w:rsidRPr="00090CDE">
        <w:rPr>
          <w:sz w:val="28"/>
          <w:szCs w:val="28"/>
        </w:rPr>
        <w:t xml:space="preserve">Tostarp konstatēts, ka </w:t>
      </w:r>
      <w:r w:rsidR="00544E6F" w:rsidRPr="00090CDE">
        <w:rPr>
          <w:sz w:val="28"/>
          <w:szCs w:val="28"/>
        </w:rPr>
        <w:t>2015.gadā salīdzinājumā ar iepriekšējo gadu ievērojami pieaudzis to gadījumu skaits, kad  bāriņtiesas informējušas tiesībsargājošās iestādes par konstatētajiem bērnu tiesību pārkāpumiem. Proti, 2014.gadā bāriņtiesas informējušas tiesībsargājošās iestādes par 5 personu tiesību pārkāpumiem pret bērnu, savukārt 2015.gadā attiecīga informācija tiesībsargājošām iestādēm sniegta jau par 17 aizbildņiem (t.i. par 12 personām vairāk), kuru darbībā bāriņtiesa saskatījusi nolaidīgu rīcību vai bērna interesēm neizdevīgu aizbildņa darbību.</w:t>
      </w:r>
      <w:r w:rsidR="00C15185" w:rsidRPr="00090CDE">
        <w:rPr>
          <w:sz w:val="28"/>
          <w:szCs w:val="28"/>
        </w:rPr>
        <w:t xml:space="preserve"> Salīdzinoši 2013.gadā bāriņtiesas šādu informāciju sniegušas par 13 aizbildņiem un 2012.gadā- par 15 aizbildņiem.</w:t>
      </w:r>
    </w:p>
    <w:p w:rsidR="00544E6F" w:rsidRPr="00090CDE" w:rsidRDefault="00CA62FD" w:rsidP="00544E6F">
      <w:pPr>
        <w:pStyle w:val="tv213"/>
        <w:spacing w:before="0" w:beforeAutospacing="0" w:after="0" w:afterAutospacing="0"/>
        <w:ind w:firstLine="720"/>
        <w:jc w:val="both"/>
        <w:rPr>
          <w:sz w:val="28"/>
          <w:szCs w:val="28"/>
        </w:rPr>
      </w:pPr>
      <w:r w:rsidRPr="00090CDE">
        <w:rPr>
          <w:sz w:val="28"/>
          <w:szCs w:val="28"/>
        </w:rPr>
        <w:t>C</w:t>
      </w:r>
      <w:r w:rsidR="00101F0B" w:rsidRPr="00090CDE">
        <w:rPr>
          <w:sz w:val="28"/>
          <w:szCs w:val="28"/>
        </w:rPr>
        <w:t>ivillikuma 339.pants</w:t>
      </w:r>
      <w:r w:rsidRPr="00090CDE">
        <w:rPr>
          <w:sz w:val="28"/>
          <w:szCs w:val="28"/>
        </w:rPr>
        <w:t xml:space="preserve"> nosaka, ka </w:t>
      </w:r>
      <w:r w:rsidR="004400E6" w:rsidRPr="00090CDE">
        <w:rPr>
          <w:sz w:val="28"/>
          <w:szCs w:val="28"/>
        </w:rPr>
        <w:t>aizbildnība izbeidz</w:t>
      </w:r>
      <w:r w:rsidRPr="00090CDE">
        <w:rPr>
          <w:sz w:val="28"/>
          <w:szCs w:val="28"/>
        </w:rPr>
        <w:t xml:space="preserve">as aizbilstamajam </w:t>
      </w:r>
      <w:r w:rsidR="004400E6" w:rsidRPr="00090CDE">
        <w:rPr>
          <w:sz w:val="28"/>
          <w:szCs w:val="28"/>
        </w:rPr>
        <w:t>ar viņa pil</w:t>
      </w:r>
      <w:r w:rsidRPr="00090CDE">
        <w:rPr>
          <w:sz w:val="28"/>
          <w:szCs w:val="28"/>
        </w:rPr>
        <w:t>ngadību; viņu adoptējot;</w:t>
      </w:r>
      <w:r w:rsidR="004400E6" w:rsidRPr="00090CDE">
        <w:rPr>
          <w:sz w:val="28"/>
          <w:szCs w:val="28"/>
        </w:rPr>
        <w:t xml:space="preserve"> ja vecākiem atjaunotas aizgādības tiesības. </w:t>
      </w:r>
      <w:r w:rsidR="000D44DF" w:rsidRPr="00090CDE">
        <w:rPr>
          <w:sz w:val="28"/>
          <w:szCs w:val="28"/>
        </w:rPr>
        <w:t xml:space="preserve">Bāriņtiesu likuma 33.panta pirmā daļa paredz, ka bāriņtiesa lemj par aizbildņa atlaišanu no aizbildņa pienākumu pildīšanas Civillikumā paredzētajos gadījumos, kā arī tad, ja ir </w:t>
      </w:r>
      <w:r w:rsidR="000D44DF" w:rsidRPr="00090CDE">
        <w:rPr>
          <w:sz w:val="28"/>
          <w:szCs w:val="28"/>
        </w:rPr>
        <w:lastRenderedPageBreak/>
        <w:t>izbeigušies šā likuma 26.panta pirmās daļas 2., 4., 5., 6. vai 7.punktā minētie aizbildnības nodibināšanas iemesli, proti, bērna v</w:t>
      </w:r>
      <w:r w:rsidR="00E6758A" w:rsidRPr="00090CDE">
        <w:rPr>
          <w:sz w:val="28"/>
          <w:szCs w:val="28"/>
        </w:rPr>
        <w:t>ecākiem atjaunotas bērna pārtrauktās</w:t>
      </w:r>
      <w:r w:rsidR="000D44DF" w:rsidRPr="00090CDE">
        <w:rPr>
          <w:sz w:val="28"/>
          <w:szCs w:val="28"/>
        </w:rPr>
        <w:t xml:space="preserve"> vai </w:t>
      </w:r>
      <w:r w:rsidR="00E6758A" w:rsidRPr="00090CDE">
        <w:rPr>
          <w:sz w:val="28"/>
          <w:szCs w:val="28"/>
        </w:rPr>
        <w:t xml:space="preserve">atņemtās </w:t>
      </w:r>
      <w:r w:rsidR="000D44DF" w:rsidRPr="00090CDE">
        <w:rPr>
          <w:sz w:val="28"/>
          <w:szCs w:val="28"/>
        </w:rPr>
        <w:t>aizgādības tiesības, bērna</w:t>
      </w:r>
      <w:r w:rsidR="00FE3343" w:rsidRPr="00090CDE">
        <w:rPr>
          <w:sz w:val="28"/>
          <w:szCs w:val="28"/>
        </w:rPr>
        <w:t xml:space="preserve"> vecāki atradušies, bērna vecākam, kurš slimības dēļ iepriekš nespēja pienācīgi aprūpēt un uzraudzīt bērnu, vairs nepastāv šķērslis bērna aizgādības īstenošanai,</w:t>
      </w:r>
      <w:r w:rsidRPr="00090CDE">
        <w:rPr>
          <w:sz w:val="28"/>
          <w:szCs w:val="28"/>
        </w:rPr>
        <w:t xml:space="preserve"> bērna vecāki kļuvuši pil</w:t>
      </w:r>
      <w:r w:rsidR="000D44DF" w:rsidRPr="00090CDE">
        <w:rPr>
          <w:sz w:val="28"/>
          <w:szCs w:val="28"/>
        </w:rPr>
        <w:t>ngadīgi, atrisinājušās domstarpīb</w:t>
      </w:r>
      <w:r w:rsidR="00544E6F" w:rsidRPr="00090CDE">
        <w:rPr>
          <w:sz w:val="28"/>
          <w:szCs w:val="28"/>
        </w:rPr>
        <w:t xml:space="preserve">as bērna un vecāku attiecībās. </w:t>
      </w:r>
    </w:p>
    <w:p w:rsidR="0096261B" w:rsidRPr="00090CDE" w:rsidRDefault="0096261B" w:rsidP="00BB0270">
      <w:pPr>
        <w:pStyle w:val="tv213"/>
        <w:spacing w:before="0" w:beforeAutospacing="0" w:after="0" w:afterAutospacing="0"/>
        <w:ind w:firstLine="720"/>
        <w:jc w:val="both"/>
        <w:rPr>
          <w:sz w:val="28"/>
          <w:szCs w:val="28"/>
        </w:rPr>
      </w:pPr>
      <w:r w:rsidRPr="00090CDE">
        <w:rPr>
          <w:sz w:val="28"/>
          <w:szCs w:val="28"/>
        </w:rPr>
        <w:t>Nereti bāriņtiesu praksē</w:t>
      </w:r>
      <w:r w:rsidR="006E302A" w:rsidRPr="00090CDE">
        <w:rPr>
          <w:sz w:val="28"/>
          <w:szCs w:val="28"/>
        </w:rPr>
        <w:t xml:space="preserve"> ir gadījumi, kad bāriņtiesai nepieciešams risināt jautājumu par bērna</w:t>
      </w:r>
      <w:r w:rsidR="00BB0270" w:rsidRPr="00090CDE">
        <w:rPr>
          <w:sz w:val="28"/>
          <w:szCs w:val="28"/>
        </w:rPr>
        <w:t>, kurš atrodas aizbildņa aprūpē,</w:t>
      </w:r>
      <w:r w:rsidR="006E302A" w:rsidRPr="00090CDE">
        <w:rPr>
          <w:sz w:val="28"/>
          <w:szCs w:val="28"/>
        </w:rPr>
        <w:t xml:space="preserve"> ievietošanu citā aizbildņa ģimenē, audžuģimenē vai</w:t>
      </w:r>
      <w:r w:rsidR="00BB0270" w:rsidRPr="00090CDE">
        <w:rPr>
          <w:sz w:val="28"/>
          <w:szCs w:val="28"/>
        </w:rPr>
        <w:t xml:space="preserve"> </w:t>
      </w:r>
      <w:r w:rsidR="006E302A" w:rsidRPr="00090CDE">
        <w:rPr>
          <w:sz w:val="28"/>
          <w:szCs w:val="28"/>
        </w:rPr>
        <w:t>institūcijā, ja bērnam ārpusģimenes aprūpi nav iespējams nodrošināt pie</w:t>
      </w:r>
      <w:r w:rsidR="00BB0270" w:rsidRPr="00090CDE">
        <w:rPr>
          <w:sz w:val="28"/>
          <w:szCs w:val="28"/>
        </w:rPr>
        <w:t xml:space="preserve"> cita</w:t>
      </w:r>
      <w:r w:rsidR="006E302A" w:rsidRPr="00090CDE">
        <w:rPr>
          <w:sz w:val="28"/>
          <w:szCs w:val="28"/>
        </w:rPr>
        <w:t xml:space="preserve"> aizbildņa vai audžuģimenē. </w:t>
      </w:r>
      <w:r w:rsidR="00BB0270" w:rsidRPr="00090CDE">
        <w:rPr>
          <w:sz w:val="28"/>
          <w:szCs w:val="28"/>
        </w:rPr>
        <w:t xml:space="preserve">Visbiežāk tie ir gadījumi, kad konstatēti pārkāpumi, ko aizbildnis pieļāvis aizbildnības pārvaldībā, iepriekšējais aizbildnis atcelts vai atlaists no aizbildņa pienākumu </w:t>
      </w:r>
      <w:r w:rsidR="00380C92" w:rsidRPr="00090CDE">
        <w:rPr>
          <w:sz w:val="28"/>
          <w:szCs w:val="28"/>
        </w:rPr>
        <w:t xml:space="preserve">pildīšanas, izveidojusies konfliktsituācija starp bērnu un aizbildni, aizbildnis miris. </w:t>
      </w:r>
    </w:p>
    <w:p w:rsidR="001D036F" w:rsidRPr="00090CDE" w:rsidRDefault="001D036F" w:rsidP="001D036F">
      <w:pPr>
        <w:pStyle w:val="tv213"/>
        <w:spacing w:before="0" w:beforeAutospacing="0" w:after="0" w:afterAutospacing="0"/>
        <w:ind w:firstLine="720"/>
        <w:jc w:val="both"/>
        <w:rPr>
          <w:bCs/>
          <w:sz w:val="28"/>
          <w:szCs w:val="28"/>
        </w:rPr>
      </w:pPr>
      <w:r w:rsidRPr="00090CDE">
        <w:rPr>
          <w:bCs/>
          <w:sz w:val="28"/>
          <w:szCs w:val="28"/>
        </w:rPr>
        <w:t>Kopumā bāriņtiesas sn</w:t>
      </w:r>
      <w:r w:rsidR="00544E6F" w:rsidRPr="00090CDE">
        <w:rPr>
          <w:bCs/>
          <w:sz w:val="28"/>
          <w:szCs w:val="28"/>
        </w:rPr>
        <w:t>iegušas datus par 682 bērniem, kuriem 2015</w:t>
      </w:r>
      <w:r w:rsidRPr="00090CDE">
        <w:rPr>
          <w:bCs/>
          <w:sz w:val="28"/>
          <w:szCs w:val="28"/>
        </w:rPr>
        <w:t>.gadā izbeigusies aizbildnība, jo zuduši aizbildnības nodibināšanas iemesli, un aizbildnis ar bāriņtiesas lēmumu atlaists no aizbildņa pienākumu pildīšanas vai aizbildņa rīcībā konstatēti pārkāpumi, aizbildnis atcelts no aizbildņa pienākumu pildīšanas un radusies nepieciešamība bērnam nodrošināt aprūpi citā ģimenē vai, ja tas nav iespējams institūcijā.</w:t>
      </w:r>
    </w:p>
    <w:p w:rsidR="001D036F" w:rsidRPr="00090CDE" w:rsidRDefault="001D036F" w:rsidP="001D036F">
      <w:pPr>
        <w:pStyle w:val="tv213"/>
        <w:spacing w:before="0" w:beforeAutospacing="0" w:after="0" w:afterAutospacing="0"/>
        <w:ind w:firstLine="720"/>
        <w:jc w:val="both"/>
        <w:rPr>
          <w:bCs/>
          <w:sz w:val="28"/>
          <w:szCs w:val="28"/>
        </w:rPr>
      </w:pPr>
      <w:r w:rsidRPr="00090CDE">
        <w:rPr>
          <w:bCs/>
          <w:sz w:val="28"/>
          <w:szCs w:val="28"/>
        </w:rPr>
        <w:t xml:space="preserve">Līdzīgi kā iepriekšējā gadā apkopotie dati norāda uz to, ka lielākoties, proti, </w:t>
      </w:r>
      <w:r w:rsidR="005839C0" w:rsidRPr="00090CDE">
        <w:rPr>
          <w:bCs/>
          <w:sz w:val="28"/>
          <w:szCs w:val="28"/>
        </w:rPr>
        <w:t>51,31% (350</w:t>
      </w:r>
      <w:r w:rsidRPr="00090CDE">
        <w:rPr>
          <w:bCs/>
          <w:sz w:val="28"/>
          <w:szCs w:val="28"/>
        </w:rPr>
        <w:t xml:space="preserve">) bērnu aizbildnība izbeigusies ar viņu pilngadību. </w:t>
      </w:r>
    </w:p>
    <w:p w:rsidR="004079FE" w:rsidRPr="00090CDE" w:rsidRDefault="001D036F" w:rsidP="004079FE">
      <w:pPr>
        <w:pStyle w:val="tv213"/>
        <w:spacing w:before="0" w:beforeAutospacing="0" w:after="0" w:afterAutospacing="0"/>
        <w:ind w:firstLine="720"/>
        <w:jc w:val="both"/>
        <w:rPr>
          <w:bCs/>
          <w:sz w:val="28"/>
          <w:szCs w:val="28"/>
        </w:rPr>
      </w:pPr>
      <w:r w:rsidRPr="00090CDE">
        <w:rPr>
          <w:bCs/>
          <w:sz w:val="28"/>
          <w:szCs w:val="28"/>
        </w:rPr>
        <w:t xml:space="preserve">No kopējā bērnu skaita, </w:t>
      </w:r>
      <w:r w:rsidR="005839C0" w:rsidRPr="00090CDE">
        <w:rPr>
          <w:bCs/>
          <w:sz w:val="28"/>
          <w:szCs w:val="28"/>
        </w:rPr>
        <w:t>127 bērni jeb 18,62</w:t>
      </w:r>
      <w:r w:rsidRPr="00090CDE">
        <w:rPr>
          <w:bCs/>
          <w:sz w:val="28"/>
          <w:szCs w:val="28"/>
        </w:rPr>
        <w:t>% bērnu atgriezušies vecāku aprūpē pēc pārtraukto vai atņemto aizgādība</w:t>
      </w:r>
      <w:r w:rsidR="005839C0" w:rsidRPr="00090CDE">
        <w:rPr>
          <w:bCs/>
          <w:sz w:val="28"/>
          <w:szCs w:val="28"/>
        </w:rPr>
        <w:t>s tiesību atjaunošanas vecākiem. (Salīdzinoši 2014.gadā tie bija 195 bērni, t.i. par 68 bērniem vairāk nekā 2015.gadā). Konstatēts, ka</w:t>
      </w:r>
      <w:r w:rsidRPr="00090CDE">
        <w:rPr>
          <w:bCs/>
          <w:sz w:val="28"/>
          <w:szCs w:val="28"/>
        </w:rPr>
        <w:t xml:space="preserve"> </w:t>
      </w:r>
      <w:r w:rsidR="005839C0" w:rsidRPr="00090CDE">
        <w:rPr>
          <w:bCs/>
          <w:sz w:val="28"/>
          <w:szCs w:val="28"/>
        </w:rPr>
        <w:t>55 bērni (8,06</w:t>
      </w:r>
      <w:r w:rsidR="004079FE" w:rsidRPr="00090CDE">
        <w:rPr>
          <w:bCs/>
          <w:sz w:val="28"/>
          <w:szCs w:val="28"/>
        </w:rPr>
        <w:t xml:space="preserve">%) nodoti aprūpē cita aizbildņa ģimenē, savukārt 4,10% jeb 28 bērni nonākuši audžuģimenes aprūpē. </w:t>
      </w:r>
      <w:r w:rsidR="00483582" w:rsidRPr="00090CDE">
        <w:rPr>
          <w:bCs/>
          <w:sz w:val="28"/>
          <w:szCs w:val="28"/>
        </w:rPr>
        <w:t xml:space="preserve">Noskaidrots, ka 46 bērnu (6, 74%) </w:t>
      </w:r>
      <w:r w:rsidRPr="00090CDE">
        <w:rPr>
          <w:bCs/>
          <w:sz w:val="28"/>
          <w:szCs w:val="28"/>
        </w:rPr>
        <w:t>vecāki kļuvuši pilngadīgi, līdz ar to paši ar likumiskā aizbildņa tiesībām turpmāk īsteno bērnu aizgādību</w:t>
      </w:r>
      <w:r w:rsidR="004079FE" w:rsidRPr="00090CDE">
        <w:rPr>
          <w:bCs/>
          <w:sz w:val="28"/>
          <w:szCs w:val="28"/>
        </w:rPr>
        <w:t xml:space="preserve">. Vienlaikus konstaēts, ka 4,54% jeb 31 bērns adoptēti, līdz ar to šie bērni </w:t>
      </w:r>
      <w:r w:rsidR="004079FE" w:rsidRPr="00090CDE">
        <w:rPr>
          <w:sz w:val="28"/>
          <w:szCs w:val="28"/>
        </w:rPr>
        <w:t>attiecībā pret adoptētāju un viņa radiniekiem ieguvuši laulībā dzimuša bērna tiesisko stāvokli kā personiskajās, tā mantiskajās attiecībās</w:t>
      </w:r>
      <w:r w:rsidR="004079FE" w:rsidRPr="00090CDE">
        <w:rPr>
          <w:bCs/>
          <w:sz w:val="28"/>
          <w:szCs w:val="28"/>
        </w:rPr>
        <w:t xml:space="preserve">. </w:t>
      </w:r>
    </w:p>
    <w:p w:rsidR="001D036F" w:rsidRPr="00090CDE" w:rsidRDefault="001D036F" w:rsidP="001D036F">
      <w:pPr>
        <w:pStyle w:val="tv213"/>
        <w:spacing w:before="0" w:beforeAutospacing="0" w:after="0" w:afterAutospacing="0"/>
        <w:ind w:firstLine="720"/>
        <w:jc w:val="both"/>
        <w:rPr>
          <w:bCs/>
          <w:sz w:val="28"/>
          <w:szCs w:val="28"/>
        </w:rPr>
      </w:pPr>
      <w:r w:rsidRPr="00090CDE">
        <w:rPr>
          <w:bCs/>
          <w:sz w:val="28"/>
          <w:szCs w:val="28"/>
        </w:rPr>
        <w:t xml:space="preserve">Vienlaikus konstatēts, ka </w:t>
      </w:r>
      <w:r w:rsidR="00483582" w:rsidRPr="00090CDE">
        <w:rPr>
          <w:bCs/>
          <w:sz w:val="28"/>
          <w:szCs w:val="28"/>
        </w:rPr>
        <w:t>37</w:t>
      </w:r>
      <w:r w:rsidRPr="00090CDE">
        <w:rPr>
          <w:bCs/>
          <w:sz w:val="28"/>
          <w:szCs w:val="28"/>
        </w:rPr>
        <w:t xml:space="preserve"> bērniem, kuri iepriekš auguši aizbildņa ģimenē un dažādu iemeslu dēļ aizbildnis atlaists vai atcelts no aizbildņa pienākumu pildīšanas, nav rasta iespēja turpmāk atras</w:t>
      </w:r>
      <w:r w:rsidR="00483582" w:rsidRPr="00090CDE">
        <w:rPr>
          <w:bCs/>
          <w:sz w:val="28"/>
          <w:szCs w:val="28"/>
        </w:rPr>
        <w:t>ties ģimeniskā vidē, proti, 5,42</w:t>
      </w:r>
      <w:r w:rsidRPr="00090CDE">
        <w:rPr>
          <w:bCs/>
          <w:sz w:val="28"/>
          <w:szCs w:val="28"/>
        </w:rPr>
        <w:t>% bērnu ievietoti institūcijā</w:t>
      </w:r>
      <w:r w:rsidR="00483582" w:rsidRPr="00090CDE">
        <w:rPr>
          <w:bCs/>
          <w:sz w:val="28"/>
          <w:szCs w:val="28"/>
        </w:rPr>
        <w:t>, kas inspekcijas ieskatā gada ietvaros ir augsts rādītājs</w:t>
      </w:r>
      <w:r w:rsidRPr="00090CDE">
        <w:rPr>
          <w:bCs/>
          <w:sz w:val="28"/>
          <w:szCs w:val="28"/>
        </w:rPr>
        <w:t xml:space="preserve">. </w:t>
      </w:r>
      <w:r w:rsidR="00483582" w:rsidRPr="00090CDE">
        <w:rPr>
          <w:bCs/>
          <w:sz w:val="28"/>
          <w:szCs w:val="28"/>
        </w:rPr>
        <w:t>Salīdzinoši 2014.gadā 54 bērni ievietoti institūcijā.</w:t>
      </w:r>
    </w:p>
    <w:p w:rsidR="004079FE" w:rsidRPr="00090CDE" w:rsidRDefault="004079FE" w:rsidP="00500E60">
      <w:pPr>
        <w:pStyle w:val="tv213"/>
        <w:spacing w:before="0" w:beforeAutospacing="0" w:after="0" w:afterAutospacing="0"/>
        <w:ind w:firstLine="720"/>
        <w:jc w:val="both"/>
        <w:rPr>
          <w:bCs/>
          <w:sz w:val="28"/>
          <w:szCs w:val="28"/>
        </w:rPr>
      </w:pPr>
      <w:r w:rsidRPr="00090CDE">
        <w:rPr>
          <w:bCs/>
          <w:sz w:val="28"/>
          <w:szCs w:val="28"/>
        </w:rPr>
        <w:t xml:space="preserve">Konstatēts, ka tikai 8 bērni (1,17%) 2015.gadā nodoti vecāku aprūpē pēc vecāku veselības stāvokļa uzlabošanās. (Savukārt 2014.gadā tie bija 17 bērni, t.i. par 9 bērniem vairāk nekā 2015.gadā).  </w:t>
      </w:r>
      <w:r w:rsidR="00500E60" w:rsidRPr="00090CDE">
        <w:rPr>
          <w:bCs/>
          <w:sz w:val="28"/>
          <w:szCs w:val="28"/>
        </w:rPr>
        <w:t xml:space="preserve">Vienlaikus datu apkopošanas rezultātā konstatēts, ka neviens bērns 2015.gadā nav atgriezies </w:t>
      </w:r>
      <w:r w:rsidRPr="00090CDE">
        <w:rPr>
          <w:bCs/>
          <w:sz w:val="28"/>
          <w:szCs w:val="28"/>
        </w:rPr>
        <w:t>vecāku aprūpē pēc savstarpēju domstarpību atrisināšanas.</w:t>
      </w:r>
      <w:r w:rsidR="00500E60" w:rsidRPr="00090CDE">
        <w:rPr>
          <w:bCs/>
          <w:sz w:val="28"/>
          <w:szCs w:val="28"/>
        </w:rPr>
        <w:t xml:space="preserve"> Detalizētu datu apkopojumu skatīt 36.lpp.</w:t>
      </w:r>
      <w:r w:rsidR="00D7790E">
        <w:rPr>
          <w:bCs/>
          <w:sz w:val="28"/>
          <w:szCs w:val="28"/>
        </w:rPr>
        <w:t xml:space="preserve"> 20.diagrammā.</w:t>
      </w:r>
    </w:p>
    <w:p w:rsidR="00500E60" w:rsidRPr="00090CDE" w:rsidRDefault="00500E60" w:rsidP="001D036F">
      <w:pPr>
        <w:jc w:val="right"/>
        <w:rPr>
          <w:b/>
          <w:sz w:val="26"/>
          <w:szCs w:val="26"/>
        </w:rPr>
      </w:pPr>
    </w:p>
    <w:p w:rsidR="00500E60" w:rsidRPr="00090CDE" w:rsidRDefault="00500E60" w:rsidP="001D036F">
      <w:pPr>
        <w:jc w:val="right"/>
        <w:rPr>
          <w:b/>
          <w:sz w:val="26"/>
          <w:szCs w:val="26"/>
        </w:rPr>
      </w:pPr>
    </w:p>
    <w:p w:rsidR="00500E60" w:rsidRPr="00090CDE" w:rsidRDefault="00500E60" w:rsidP="001D036F">
      <w:pPr>
        <w:jc w:val="right"/>
        <w:rPr>
          <w:b/>
          <w:sz w:val="26"/>
          <w:szCs w:val="26"/>
        </w:rPr>
      </w:pPr>
    </w:p>
    <w:p w:rsidR="001329E8" w:rsidRPr="00090CDE" w:rsidRDefault="00500E60" w:rsidP="00500E60">
      <w:pPr>
        <w:jc w:val="right"/>
        <w:rPr>
          <w:b/>
          <w:sz w:val="26"/>
          <w:szCs w:val="26"/>
        </w:rPr>
      </w:pPr>
      <w:r w:rsidRPr="00090CDE">
        <w:rPr>
          <w:b/>
          <w:sz w:val="26"/>
          <w:szCs w:val="26"/>
        </w:rPr>
        <w:lastRenderedPageBreak/>
        <w:t>20.diagramma</w:t>
      </w:r>
    </w:p>
    <w:p w:rsidR="001329E8" w:rsidRPr="00090CDE" w:rsidRDefault="001329E8" w:rsidP="00500E60">
      <w:pPr>
        <w:pStyle w:val="tv213"/>
        <w:spacing w:before="0" w:beforeAutospacing="0" w:after="0" w:afterAutospacing="0"/>
        <w:rPr>
          <w:bCs/>
          <w:sz w:val="28"/>
          <w:szCs w:val="28"/>
        </w:rPr>
      </w:pPr>
      <w:r w:rsidRPr="00090CDE">
        <w:rPr>
          <w:noProof/>
          <w:lang w:val="en-GB" w:eastAsia="en-GB"/>
        </w:rPr>
        <w:drawing>
          <wp:inline distT="0" distB="0" distL="0" distR="0" wp14:anchorId="0AB9BB64" wp14:editId="12569F1B">
            <wp:extent cx="6011545" cy="3677055"/>
            <wp:effectExtent l="0" t="0" r="8255" b="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329E8" w:rsidRPr="00090CDE" w:rsidRDefault="001329E8" w:rsidP="007C71E1">
      <w:pPr>
        <w:pStyle w:val="tv213"/>
        <w:spacing w:before="0" w:beforeAutospacing="0" w:after="0" w:afterAutospacing="0"/>
        <w:jc w:val="both"/>
        <w:rPr>
          <w:bCs/>
          <w:sz w:val="28"/>
          <w:szCs w:val="28"/>
        </w:rPr>
      </w:pPr>
    </w:p>
    <w:p w:rsidR="005A771B" w:rsidRPr="00090CDE" w:rsidRDefault="008E2FCB" w:rsidP="007C71E1">
      <w:pPr>
        <w:pStyle w:val="Heading1"/>
        <w:rPr>
          <w:sz w:val="32"/>
        </w:rPr>
      </w:pPr>
      <w:bookmarkStart w:id="17" w:name="_Toc455138995"/>
      <w:r w:rsidRPr="00090CDE">
        <w:rPr>
          <w:sz w:val="32"/>
        </w:rPr>
        <w:t>5</w:t>
      </w:r>
      <w:r w:rsidR="001609D1" w:rsidRPr="00090CDE">
        <w:rPr>
          <w:sz w:val="32"/>
        </w:rPr>
        <w:t>.</w:t>
      </w:r>
      <w:r w:rsidR="00E74D20" w:rsidRPr="00090CDE">
        <w:rPr>
          <w:sz w:val="32"/>
        </w:rPr>
        <w:t>P</w:t>
      </w:r>
      <w:r w:rsidRPr="00090CDE">
        <w:rPr>
          <w:sz w:val="32"/>
        </w:rPr>
        <w:t>ārskats par audžuģimeņu lietām</w:t>
      </w:r>
      <w:bookmarkEnd w:id="17"/>
    </w:p>
    <w:p w:rsidR="007C71E1" w:rsidRPr="00090CDE" w:rsidRDefault="007C71E1" w:rsidP="007C71E1">
      <w:pPr>
        <w:spacing w:after="0" w:line="240" w:lineRule="auto"/>
      </w:pPr>
    </w:p>
    <w:p w:rsidR="00265200" w:rsidRPr="00090CDE" w:rsidRDefault="002D67CE" w:rsidP="00265200">
      <w:pPr>
        <w:spacing w:after="0"/>
        <w:ind w:firstLine="720"/>
        <w:rPr>
          <w:sz w:val="28"/>
          <w:szCs w:val="28"/>
        </w:rPr>
      </w:pPr>
      <w:r w:rsidRPr="00090CDE">
        <w:rPr>
          <w:sz w:val="28"/>
          <w:szCs w:val="28"/>
        </w:rPr>
        <w:t xml:space="preserve">Atbilstoši bāriņtiesas kompetencei, kas noteikta Bāriņtiesu likuma 25.pantā, </w:t>
      </w:r>
      <w:r w:rsidR="00265200" w:rsidRPr="00090CDE">
        <w:rPr>
          <w:sz w:val="28"/>
          <w:szCs w:val="28"/>
        </w:rPr>
        <w:t>bāriņtiesa lemj par:</w:t>
      </w:r>
    </w:p>
    <w:p w:rsidR="00265200" w:rsidRPr="00090CDE" w:rsidRDefault="00265200" w:rsidP="00265200">
      <w:pPr>
        <w:pStyle w:val="ListParagraph"/>
        <w:numPr>
          <w:ilvl w:val="0"/>
          <w:numId w:val="8"/>
        </w:numPr>
        <w:spacing w:after="0"/>
        <w:rPr>
          <w:sz w:val="25"/>
          <w:szCs w:val="25"/>
        </w:rPr>
      </w:pPr>
      <w:r w:rsidRPr="00090CDE">
        <w:rPr>
          <w:sz w:val="25"/>
          <w:szCs w:val="25"/>
        </w:rPr>
        <w:t xml:space="preserve">ģimenes vai personas piemērotību audžuģimenes pienākumu veikšanai; </w:t>
      </w:r>
    </w:p>
    <w:p w:rsidR="00265200" w:rsidRPr="00090CDE" w:rsidRDefault="00265200" w:rsidP="00265200">
      <w:pPr>
        <w:pStyle w:val="ListParagraph"/>
        <w:numPr>
          <w:ilvl w:val="0"/>
          <w:numId w:val="8"/>
        </w:numPr>
        <w:spacing w:after="0"/>
        <w:rPr>
          <w:sz w:val="25"/>
          <w:szCs w:val="25"/>
        </w:rPr>
      </w:pPr>
      <w:r w:rsidRPr="00090CDE">
        <w:rPr>
          <w:sz w:val="25"/>
          <w:szCs w:val="25"/>
        </w:rPr>
        <w:t>audžuģimenes statusa piešķiršanu;</w:t>
      </w:r>
    </w:p>
    <w:p w:rsidR="00265200" w:rsidRPr="00090CDE" w:rsidRDefault="00265200" w:rsidP="00265200">
      <w:pPr>
        <w:pStyle w:val="ListParagraph"/>
        <w:numPr>
          <w:ilvl w:val="0"/>
          <w:numId w:val="8"/>
        </w:numPr>
        <w:spacing w:after="0"/>
        <w:rPr>
          <w:sz w:val="25"/>
          <w:szCs w:val="25"/>
        </w:rPr>
      </w:pPr>
      <w:r w:rsidRPr="00090CDE">
        <w:rPr>
          <w:sz w:val="25"/>
          <w:szCs w:val="25"/>
        </w:rPr>
        <w:t>bērna ievietošanu audžuģimenē vai uzturēšanās izbeigšanu tajā.</w:t>
      </w:r>
    </w:p>
    <w:p w:rsidR="00265200" w:rsidRPr="00090CDE" w:rsidRDefault="00265200" w:rsidP="00FB0B1C">
      <w:pPr>
        <w:spacing w:after="0" w:line="240" w:lineRule="auto"/>
        <w:ind w:firstLine="720"/>
        <w:rPr>
          <w:sz w:val="28"/>
          <w:szCs w:val="28"/>
        </w:rPr>
      </w:pPr>
      <w:r w:rsidRPr="00090CDE">
        <w:rPr>
          <w:sz w:val="28"/>
          <w:szCs w:val="28"/>
        </w:rPr>
        <w:t>Audžuģimenes statusa piešķiršanas un atņemšanas kārtību, bērna un audžuģimenes savstarpējās personiskās un mantiskās attiecības, audžuģimenes finansēšanas kārtību, kā arī kārtību, kādā bērnu nodod audžuģimenei vai izbeidz viņa uzturēšanos tajā, reglamentē Ministru kabineta 2006.gada 19.decembra noteikumi Nr.1036 „Audžuģimenes noteikumi” (turpmāk – Audžuģimenes noteikumi).</w:t>
      </w:r>
    </w:p>
    <w:p w:rsidR="0047534B" w:rsidRPr="00090CDE" w:rsidRDefault="0047534B" w:rsidP="00400F2A">
      <w:pPr>
        <w:spacing w:after="0"/>
        <w:ind w:firstLine="720"/>
        <w:rPr>
          <w:sz w:val="28"/>
          <w:szCs w:val="28"/>
        </w:rPr>
      </w:pPr>
      <w:r w:rsidRPr="00090CDE">
        <w:rPr>
          <w:sz w:val="28"/>
          <w:szCs w:val="28"/>
        </w:rPr>
        <w:t xml:space="preserve">Audžuģimene ir ģimene vai persona, kas nodrošina aprūpi bērnam, kuram uz laiku vai pastāvīgi atņemta viņa ģimeniskā vide vai kura interesēs nav pieļaujama palikšana savā ģimenē. Audžuģimenes pienākums ir nodrošināt bērnam viņa vecumam un veselības stāvoklim atbilstošus sadzīves apstākļus un aprūpi (veselības aprūpi, audzināšanu un izglītību). </w:t>
      </w:r>
      <w:r w:rsidR="00604EA3" w:rsidRPr="00090CDE">
        <w:rPr>
          <w:sz w:val="28"/>
          <w:szCs w:val="28"/>
        </w:rPr>
        <w:t xml:space="preserve">Audžuģimenē ievietota bērna personiskās un mantiskās intereses un tiesības pārstāv bāriņtiesa. Tādējādi </w:t>
      </w:r>
      <w:r w:rsidR="00D509F1" w:rsidRPr="00090CDE">
        <w:rPr>
          <w:sz w:val="28"/>
          <w:szCs w:val="28"/>
        </w:rPr>
        <w:t xml:space="preserve">audžuģimene saskaņo ar bāriņtiesu jautājumus, kas saistīti ar bērna izglītību, saskarsmi ar vecākiem, radiniekiem un citām bērnam tuvām personām, uzturēšanās kārtību pie vecākiem, ja vecākiem ir pārtrauktas aizgādības tiesības, kā arī citus būtiskus jautājumus, kas skar bērna intereses. </w:t>
      </w:r>
    </w:p>
    <w:p w:rsidR="008526AB" w:rsidRPr="00090CDE" w:rsidRDefault="00562360" w:rsidP="008526AB">
      <w:pPr>
        <w:spacing w:after="0"/>
        <w:ind w:firstLine="720"/>
        <w:rPr>
          <w:sz w:val="28"/>
          <w:szCs w:val="28"/>
        </w:rPr>
      </w:pPr>
      <w:r w:rsidRPr="00090CDE">
        <w:rPr>
          <w:sz w:val="28"/>
          <w:szCs w:val="28"/>
        </w:rPr>
        <w:lastRenderedPageBreak/>
        <w:t>Lemjot par laulāto piemērotību audžuģimenes pienākumu veikšanai, bāriņtiesai primāri jāpārliecinās, vai nepastāv Audžuģimenes noteikumu 10.-12.punktā minētie šķēršļi, kas liedz konkrētajai personai pretendēt uz audžuģimenes statusa piešķiršanu. Savukārt noteikumu 13.un 14.punkts paredz, kādus dokumentus bāriņtiesai jāpieprasa un kādas darbības jāveic, lai izvērtētu, vai laulātie (persona) piemēroti audžuģimenes pienākumu veikšanai.</w:t>
      </w:r>
      <w:r w:rsidR="00E6196C" w:rsidRPr="00090CDE">
        <w:rPr>
          <w:sz w:val="28"/>
          <w:szCs w:val="28"/>
        </w:rPr>
        <w:t xml:space="preserve"> Gadījumā, ja bāriņtiesa nolemj, ka laulātie (persona) ir piemēroti audžuģimenes pienākumu veikšanai, laulātie (persona) apgūst mācību kursu atbilstoši audžuģimenes mācību programmai, kurā tiek iegūtas zināšanas un prasmes par ārpusģimenes aprūpes tiesisko regulējumu, bērna attīstību, par saskarsmi ģimenē, par bērna aprūpi.  Atbilstoši Audžuģimenes noteikumu </w:t>
      </w:r>
      <w:r w:rsidR="008526AB" w:rsidRPr="00090CDE">
        <w:rPr>
          <w:sz w:val="28"/>
          <w:szCs w:val="28"/>
        </w:rPr>
        <w:t xml:space="preserve">17.punktā paredzētajam bāriņtiesa, </w:t>
      </w:r>
      <w:r w:rsidR="00E6196C" w:rsidRPr="00090CDE">
        <w:rPr>
          <w:sz w:val="28"/>
          <w:szCs w:val="28"/>
        </w:rPr>
        <w:t>piesaistot speciālistus, mēneša laikā pēc mācību kursa beigām veic pārrunas ar laulātajiem (personu), lai konstatētu laulāto (personas) gribu un gatavību iegūt audžuģimenes statusu, un pieņem lēmumu par audžuģimenes statusu.</w:t>
      </w:r>
    </w:p>
    <w:p w:rsidR="00E74D20" w:rsidRPr="00090CDE" w:rsidRDefault="00E74D20" w:rsidP="008526AB">
      <w:pPr>
        <w:spacing w:after="0"/>
        <w:ind w:firstLine="720"/>
        <w:rPr>
          <w:sz w:val="28"/>
          <w:szCs w:val="28"/>
        </w:rPr>
      </w:pPr>
      <w:r w:rsidRPr="00090CDE">
        <w:rPr>
          <w:sz w:val="28"/>
          <w:szCs w:val="28"/>
        </w:rPr>
        <w:t xml:space="preserve">Bāriņtiesa, ievietojot bērnu audžuģimenē, noskaidro bērna viedokli un ievēro bērna intereses, kā arī izvērtē, vai audžuģimene spēs nodrošināt pienācīgus dzīves apstākļus un aprūpi bērnam. Atbilstoši Audžuģimenes noteikumu 25.punktā paredzētajam, bērnu audžuģimenē ievieto uz laiku, kamēr bērns var atgriezties savā ģimenē vai, ja tas nav iespējams, līdz bērna adopcijai vai aizbildnības nodibināšanai. </w:t>
      </w:r>
    </w:p>
    <w:p w:rsidR="00E74D20" w:rsidRPr="00090CDE" w:rsidRDefault="00E74D20" w:rsidP="00417FFA">
      <w:pPr>
        <w:pStyle w:val="Heading2"/>
        <w:jc w:val="both"/>
      </w:pPr>
    </w:p>
    <w:p w:rsidR="007C71E1" w:rsidRPr="00090CDE" w:rsidRDefault="008E2FCB" w:rsidP="00EE3788">
      <w:pPr>
        <w:pStyle w:val="Heading2"/>
      </w:pPr>
      <w:bookmarkStart w:id="18" w:name="_Toc455138996"/>
      <w:r w:rsidRPr="00090CDE">
        <w:t>5</w:t>
      </w:r>
      <w:r w:rsidR="001609D1" w:rsidRPr="00090CDE">
        <w:t>.1.Audžuģimeņu kopējai</w:t>
      </w:r>
      <w:r w:rsidR="008B7F2D" w:rsidRPr="00090CDE">
        <w:t>s skaits</w:t>
      </w:r>
      <w:bookmarkEnd w:id="18"/>
    </w:p>
    <w:p w:rsidR="00EE3788" w:rsidRPr="00090CDE" w:rsidRDefault="00170DAC" w:rsidP="00EE3788">
      <w:pPr>
        <w:rPr>
          <w:sz w:val="10"/>
          <w:szCs w:val="10"/>
        </w:rPr>
      </w:pPr>
      <w:r w:rsidRPr="00090CDE">
        <w:tab/>
      </w:r>
    </w:p>
    <w:p w:rsidR="00FC5292" w:rsidRPr="00090CDE" w:rsidRDefault="00170DAC" w:rsidP="00170DAC">
      <w:pPr>
        <w:rPr>
          <w:sz w:val="28"/>
          <w:szCs w:val="28"/>
        </w:rPr>
      </w:pPr>
      <w:r w:rsidRPr="00090CDE">
        <w:tab/>
      </w:r>
      <w:r w:rsidRPr="00090CDE">
        <w:rPr>
          <w:sz w:val="28"/>
          <w:szCs w:val="28"/>
        </w:rPr>
        <w:t>Vadoties pēc statis</w:t>
      </w:r>
      <w:r w:rsidR="003A4EB5" w:rsidRPr="00090CDE">
        <w:rPr>
          <w:sz w:val="28"/>
          <w:szCs w:val="28"/>
        </w:rPr>
        <w:t>tikas datiem par periodu no 2012.gada līdz 2015</w:t>
      </w:r>
      <w:r w:rsidRPr="00090CDE">
        <w:rPr>
          <w:sz w:val="28"/>
          <w:szCs w:val="28"/>
        </w:rPr>
        <w:t>.gadam, skaitliski augstākais rādītājs attiecībā uz kopējo audžuģimeņu skaitu konstatēts 2013.gadā, proti, 594 audžuģimenes, kurām ar bāriņties</w:t>
      </w:r>
      <w:r w:rsidR="00F97EB2" w:rsidRPr="00090CDE">
        <w:rPr>
          <w:sz w:val="28"/>
          <w:szCs w:val="28"/>
        </w:rPr>
        <w:t>as lē</w:t>
      </w:r>
      <w:r w:rsidRPr="00090CDE">
        <w:rPr>
          <w:sz w:val="28"/>
          <w:szCs w:val="28"/>
        </w:rPr>
        <w:t xml:space="preserve">mumu </w:t>
      </w:r>
      <w:r w:rsidR="003A4EB5" w:rsidRPr="00090CDE">
        <w:rPr>
          <w:sz w:val="28"/>
          <w:szCs w:val="28"/>
        </w:rPr>
        <w:t xml:space="preserve">piešķirts audžuģimenes statuss, t.i. par 12 audžuģimenēm vairāk nekā 2012.gadā un par 9 audžuģimenēm vairāk nekā 2015.gadā. </w:t>
      </w:r>
    </w:p>
    <w:p w:rsidR="00FC5292" w:rsidRPr="00090CDE" w:rsidRDefault="00FC5292" w:rsidP="00FC5292">
      <w:pPr>
        <w:jc w:val="right"/>
        <w:rPr>
          <w:b/>
          <w:sz w:val="26"/>
          <w:szCs w:val="26"/>
        </w:rPr>
      </w:pPr>
      <w:r w:rsidRPr="00090CDE">
        <w:rPr>
          <w:b/>
          <w:sz w:val="26"/>
          <w:szCs w:val="26"/>
        </w:rPr>
        <w:t>21.diagramma</w:t>
      </w:r>
    </w:p>
    <w:p w:rsidR="00FC5292" w:rsidRPr="00090CDE" w:rsidRDefault="00FC5292" w:rsidP="00170DAC">
      <w:pPr>
        <w:rPr>
          <w:sz w:val="28"/>
          <w:szCs w:val="28"/>
        </w:rPr>
      </w:pPr>
      <w:r w:rsidRPr="00090CDE">
        <w:rPr>
          <w:sz w:val="28"/>
          <w:szCs w:val="28"/>
        </w:rPr>
        <w:t xml:space="preserve">       </w:t>
      </w:r>
      <w:r w:rsidRPr="00090CDE">
        <w:rPr>
          <w:noProof/>
          <w:lang w:val="en-GB" w:eastAsia="en-GB"/>
        </w:rPr>
        <w:drawing>
          <wp:inline distT="0" distB="0" distL="0" distR="0" wp14:anchorId="202295FE" wp14:editId="69E0FA2D">
            <wp:extent cx="5544185" cy="2704289"/>
            <wp:effectExtent l="0" t="0" r="18415" b="127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717E9" w:rsidRPr="00090CDE" w:rsidRDefault="00EE3788" w:rsidP="00FC5292">
      <w:pPr>
        <w:ind w:firstLine="720"/>
        <w:rPr>
          <w:sz w:val="28"/>
          <w:szCs w:val="28"/>
        </w:rPr>
      </w:pPr>
      <w:r w:rsidRPr="00090CDE">
        <w:rPr>
          <w:sz w:val="28"/>
          <w:szCs w:val="28"/>
        </w:rPr>
        <w:lastRenderedPageBreak/>
        <w:t xml:space="preserve">Bāriņtiesu sniegtā informācija par audžuģimenēm liecina par to, ka </w:t>
      </w:r>
      <w:r w:rsidR="003A4EB5" w:rsidRPr="00090CDE">
        <w:rPr>
          <w:sz w:val="28"/>
          <w:szCs w:val="28"/>
        </w:rPr>
        <w:t>pēdējo</w:t>
      </w:r>
      <w:r w:rsidR="00170DAC" w:rsidRPr="00090CDE">
        <w:rPr>
          <w:sz w:val="28"/>
          <w:szCs w:val="28"/>
        </w:rPr>
        <w:t xml:space="preserve"> gadu periodā nav</w:t>
      </w:r>
      <w:r w:rsidRPr="00090CDE">
        <w:rPr>
          <w:sz w:val="28"/>
          <w:szCs w:val="28"/>
        </w:rPr>
        <w:t xml:space="preserve"> konstatējams</w:t>
      </w:r>
      <w:r w:rsidR="00565585" w:rsidRPr="00090CDE">
        <w:rPr>
          <w:sz w:val="28"/>
          <w:szCs w:val="28"/>
        </w:rPr>
        <w:t xml:space="preserve"> būtisks kopējā audžuģimeņu skaita palielinājums. Konstatēts, ka uz 2014</w:t>
      </w:r>
      <w:r w:rsidRPr="00090CDE">
        <w:rPr>
          <w:sz w:val="28"/>
          <w:szCs w:val="28"/>
        </w:rPr>
        <w:t>.gada 31.decembri kopējais audžuģimeņu skaits ir</w:t>
      </w:r>
      <w:r w:rsidRPr="00090CDE">
        <w:rPr>
          <w:b/>
          <w:sz w:val="28"/>
          <w:szCs w:val="28"/>
        </w:rPr>
        <w:t>-</w:t>
      </w:r>
      <w:r w:rsidR="00565585" w:rsidRPr="00090CDE">
        <w:rPr>
          <w:sz w:val="28"/>
          <w:szCs w:val="28"/>
        </w:rPr>
        <w:t xml:space="preserve"> 579</w:t>
      </w:r>
      <w:r w:rsidRPr="00090CDE">
        <w:rPr>
          <w:sz w:val="28"/>
          <w:szCs w:val="28"/>
        </w:rPr>
        <w:t>, kas, salīdzino</w:t>
      </w:r>
      <w:r w:rsidR="00565585" w:rsidRPr="00090CDE">
        <w:rPr>
          <w:sz w:val="28"/>
          <w:szCs w:val="28"/>
        </w:rPr>
        <w:t>ši ar 2012.gadu, ir tikai par 3 audžuģimenēm mazāk</w:t>
      </w:r>
      <w:r w:rsidRPr="00090CDE">
        <w:rPr>
          <w:sz w:val="28"/>
          <w:szCs w:val="28"/>
        </w:rPr>
        <w:t>,</w:t>
      </w:r>
      <w:r w:rsidR="00565585" w:rsidRPr="00090CDE">
        <w:rPr>
          <w:sz w:val="28"/>
          <w:szCs w:val="28"/>
        </w:rPr>
        <w:t xml:space="preserve"> bet salīdzinoši ar 2013.gadu par 15 audžuģimenēm mazāk,</w:t>
      </w:r>
      <w:r w:rsidRPr="00090CDE">
        <w:rPr>
          <w:sz w:val="28"/>
          <w:szCs w:val="28"/>
        </w:rPr>
        <w:t xml:space="preserve"> tātad izmaiņas audžuģimeņu skaita ziņā ir nebūtiskas.</w:t>
      </w:r>
      <w:r w:rsidR="003A4EB5" w:rsidRPr="00090CDE">
        <w:rPr>
          <w:sz w:val="28"/>
          <w:szCs w:val="28"/>
        </w:rPr>
        <w:t xml:space="preserve"> Apkopojot datus, konstatēts, ka 2015.gadā 585 audžuģimenēm piešķirts audžuģimenes statuss, kas ir tikai par 6 audžuģimenēm vairāk nekā 2014.gadā.</w:t>
      </w:r>
    </w:p>
    <w:p w:rsidR="00EE3788" w:rsidRPr="00090CDE" w:rsidRDefault="00EE3788" w:rsidP="00EE3788">
      <w:pPr>
        <w:spacing w:after="0" w:line="240" w:lineRule="auto"/>
        <w:ind w:firstLine="720"/>
        <w:rPr>
          <w:sz w:val="28"/>
          <w:szCs w:val="28"/>
        </w:rPr>
      </w:pPr>
      <w:r w:rsidRPr="00090CDE">
        <w:rPr>
          <w:sz w:val="28"/>
          <w:szCs w:val="28"/>
        </w:rPr>
        <w:t>Vienlaikus svarīgi</w:t>
      </w:r>
      <w:r w:rsidR="006B774B" w:rsidRPr="00090CDE">
        <w:rPr>
          <w:sz w:val="28"/>
          <w:szCs w:val="28"/>
        </w:rPr>
        <w:t xml:space="preserve"> ņemt vērā, ka ne visās audžuģimenē</w:t>
      </w:r>
      <w:r w:rsidR="003E2176" w:rsidRPr="00090CDE">
        <w:rPr>
          <w:sz w:val="28"/>
          <w:szCs w:val="28"/>
        </w:rPr>
        <w:t>s</w:t>
      </w:r>
      <w:r w:rsidR="006B774B" w:rsidRPr="00090CDE">
        <w:rPr>
          <w:sz w:val="28"/>
          <w:szCs w:val="28"/>
        </w:rPr>
        <w:t xml:space="preserve">, kurām piešķirts audžuģimenes statuss, ir ievietoti bērni. </w:t>
      </w:r>
      <w:r w:rsidR="003E2176" w:rsidRPr="00090CDE">
        <w:rPr>
          <w:sz w:val="28"/>
          <w:szCs w:val="28"/>
        </w:rPr>
        <w:t>Audžuģimenes noteikumi paredz, ka, ja audžuģimene pamatotu iemeslu dēļ nevar uzņemt bērnu, par to rakstiski informē bāriņtiesu, norādot datumu, pēc kura audžuģimene ir gatava veikt savus pienākumus.</w:t>
      </w:r>
    </w:p>
    <w:p w:rsidR="00B742D5" w:rsidRPr="00090CDE" w:rsidRDefault="004930DF" w:rsidP="00B742D5">
      <w:pPr>
        <w:spacing w:after="0" w:line="240" w:lineRule="auto"/>
        <w:ind w:firstLine="720"/>
        <w:rPr>
          <w:sz w:val="28"/>
          <w:szCs w:val="28"/>
        </w:rPr>
      </w:pPr>
      <w:r w:rsidRPr="00090CDE">
        <w:rPr>
          <w:sz w:val="28"/>
          <w:szCs w:val="28"/>
        </w:rPr>
        <w:t>Izvērtējot bāriņtiesu pārskatos fiksēto i</w:t>
      </w:r>
      <w:r w:rsidR="00B742D5" w:rsidRPr="00090CDE">
        <w:rPr>
          <w:sz w:val="28"/>
          <w:szCs w:val="28"/>
        </w:rPr>
        <w:t>nformāciju, noskaidrots, ka 2015.gadā no 585</w:t>
      </w:r>
      <w:r w:rsidRPr="00090CDE">
        <w:rPr>
          <w:sz w:val="28"/>
          <w:szCs w:val="28"/>
        </w:rPr>
        <w:t xml:space="preserve"> audžuģimenēm, kurām pi</w:t>
      </w:r>
      <w:r w:rsidR="00B742D5" w:rsidRPr="00090CDE">
        <w:rPr>
          <w:sz w:val="28"/>
          <w:szCs w:val="28"/>
        </w:rPr>
        <w:t>ešķirts audžuģimenes statuss, 71 audžuģimenē</w:t>
      </w:r>
      <w:r w:rsidRPr="00090CDE">
        <w:rPr>
          <w:sz w:val="28"/>
          <w:szCs w:val="28"/>
        </w:rPr>
        <w:t xml:space="preserve"> pārskata gada 31.decem</w:t>
      </w:r>
      <w:r w:rsidR="00B742D5" w:rsidRPr="00090CDE">
        <w:rPr>
          <w:sz w:val="28"/>
          <w:szCs w:val="28"/>
        </w:rPr>
        <w:t>brī nav ievietoti bērni, t.i. 12.13</w:t>
      </w:r>
      <w:r w:rsidRPr="00090CDE">
        <w:rPr>
          <w:sz w:val="28"/>
          <w:szCs w:val="28"/>
        </w:rPr>
        <w:t xml:space="preserve">% no kopējā audžuģimeņu skaita. </w:t>
      </w:r>
      <w:r w:rsidR="00F74B61" w:rsidRPr="00090CDE">
        <w:rPr>
          <w:sz w:val="28"/>
          <w:szCs w:val="28"/>
        </w:rPr>
        <w:t>Pēc bāriņt</w:t>
      </w:r>
      <w:r w:rsidR="00B742D5" w:rsidRPr="00090CDE">
        <w:rPr>
          <w:sz w:val="28"/>
          <w:szCs w:val="28"/>
        </w:rPr>
        <w:t>iesu sniegtās informācijas 2015</w:t>
      </w:r>
      <w:r w:rsidR="00F74B61" w:rsidRPr="00090CDE">
        <w:rPr>
          <w:sz w:val="28"/>
          <w:szCs w:val="28"/>
        </w:rPr>
        <w:t xml:space="preserve">.gadā </w:t>
      </w:r>
      <w:r w:rsidR="00B742D5" w:rsidRPr="00090CDE">
        <w:rPr>
          <w:sz w:val="28"/>
          <w:szCs w:val="28"/>
        </w:rPr>
        <w:t>46</w:t>
      </w:r>
      <w:r w:rsidR="00740ADF" w:rsidRPr="00090CDE">
        <w:rPr>
          <w:sz w:val="28"/>
          <w:szCs w:val="28"/>
        </w:rPr>
        <w:t xml:space="preserve"> </w:t>
      </w:r>
      <w:r w:rsidR="00F74B61" w:rsidRPr="00090CDE">
        <w:rPr>
          <w:sz w:val="28"/>
          <w:szCs w:val="28"/>
        </w:rPr>
        <w:t>audžuģimene</w:t>
      </w:r>
      <w:r w:rsidR="00B742D5" w:rsidRPr="00090CDE">
        <w:rPr>
          <w:sz w:val="28"/>
          <w:szCs w:val="28"/>
        </w:rPr>
        <w:t>s</w:t>
      </w:r>
      <w:r w:rsidR="00F74B61" w:rsidRPr="00090CDE">
        <w:rPr>
          <w:sz w:val="28"/>
          <w:szCs w:val="28"/>
        </w:rPr>
        <w:t xml:space="preserve"> p</w:t>
      </w:r>
      <w:r w:rsidR="00740ADF" w:rsidRPr="00090CDE">
        <w:rPr>
          <w:sz w:val="28"/>
          <w:szCs w:val="28"/>
        </w:rPr>
        <w:t>a</w:t>
      </w:r>
      <w:r w:rsidR="00B742D5" w:rsidRPr="00090CDE">
        <w:rPr>
          <w:sz w:val="28"/>
          <w:szCs w:val="28"/>
        </w:rPr>
        <w:t>matotu iemeslu dēļ ģimenē nav varējušas</w:t>
      </w:r>
      <w:r w:rsidR="00F74B61" w:rsidRPr="00090CDE">
        <w:rPr>
          <w:sz w:val="28"/>
          <w:szCs w:val="28"/>
        </w:rPr>
        <w:t xml:space="preserve"> uzņemt bērnus. Ievērojot iepriekš minēt</w:t>
      </w:r>
      <w:r w:rsidR="00740ADF" w:rsidRPr="00090CDE">
        <w:rPr>
          <w:sz w:val="28"/>
          <w:szCs w:val="28"/>
        </w:rPr>
        <w:t xml:space="preserve">o, konstatēts, ka </w:t>
      </w:r>
      <w:r w:rsidR="00B742D5" w:rsidRPr="00090CDE">
        <w:rPr>
          <w:sz w:val="28"/>
          <w:szCs w:val="28"/>
        </w:rPr>
        <w:t>kopumā uz 2015</w:t>
      </w:r>
      <w:r w:rsidR="00F74B61" w:rsidRPr="00090CDE">
        <w:rPr>
          <w:sz w:val="28"/>
          <w:szCs w:val="28"/>
        </w:rPr>
        <w:t>.gada 31.de</w:t>
      </w:r>
      <w:r w:rsidR="00B742D5" w:rsidRPr="00090CDE">
        <w:rPr>
          <w:sz w:val="28"/>
          <w:szCs w:val="28"/>
        </w:rPr>
        <w:t>cembri 514</w:t>
      </w:r>
      <w:r w:rsidR="00F74B61" w:rsidRPr="00090CDE">
        <w:rPr>
          <w:sz w:val="28"/>
          <w:szCs w:val="28"/>
        </w:rPr>
        <w:t xml:space="preserve"> audžuģimenes faktiski veikušas savus audžuģimenes</w:t>
      </w:r>
      <w:r w:rsidR="00B742D5" w:rsidRPr="00090CDE">
        <w:rPr>
          <w:sz w:val="28"/>
          <w:szCs w:val="28"/>
        </w:rPr>
        <w:t xml:space="preserve"> pienākumus attiecībā pret bērniem</w:t>
      </w:r>
      <w:r w:rsidR="00F74B61" w:rsidRPr="00090CDE">
        <w:rPr>
          <w:sz w:val="28"/>
          <w:szCs w:val="28"/>
        </w:rPr>
        <w:t xml:space="preserve">. </w:t>
      </w:r>
    </w:p>
    <w:p w:rsidR="001D036F" w:rsidRPr="00090CDE" w:rsidRDefault="001D036F" w:rsidP="00740ADF">
      <w:pPr>
        <w:spacing w:after="0" w:line="240" w:lineRule="auto"/>
        <w:ind w:firstLine="720"/>
        <w:rPr>
          <w:sz w:val="28"/>
          <w:szCs w:val="28"/>
        </w:rPr>
      </w:pPr>
    </w:p>
    <w:p w:rsidR="00AA3BAF" w:rsidRPr="00090CDE" w:rsidRDefault="008E2FCB" w:rsidP="00C3057C">
      <w:pPr>
        <w:pStyle w:val="Heading2"/>
      </w:pPr>
      <w:bookmarkStart w:id="19" w:name="_Toc455138997"/>
      <w:r w:rsidRPr="00090CDE">
        <w:t>5</w:t>
      </w:r>
      <w:r w:rsidR="001609D1" w:rsidRPr="00090CDE">
        <w:t>.2.Audžuģimeņu skaits pārskata gadā</w:t>
      </w:r>
      <w:bookmarkEnd w:id="19"/>
    </w:p>
    <w:p w:rsidR="00FE4A3B" w:rsidRPr="00090CDE" w:rsidRDefault="00FE4A3B" w:rsidP="00FE4A3B">
      <w:pPr>
        <w:rPr>
          <w:sz w:val="10"/>
          <w:szCs w:val="10"/>
        </w:rPr>
      </w:pPr>
    </w:p>
    <w:p w:rsidR="00B742D5" w:rsidRPr="00090CDE" w:rsidRDefault="00F94F0C" w:rsidP="00910DB9">
      <w:pPr>
        <w:ind w:firstLine="720"/>
        <w:rPr>
          <w:sz w:val="28"/>
          <w:szCs w:val="28"/>
        </w:rPr>
      </w:pPr>
      <w:r w:rsidRPr="00090CDE">
        <w:rPr>
          <w:sz w:val="28"/>
          <w:szCs w:val="28"/>
        </w:rPr>
        <w:t>Inspekcija tajā skaitā apkopojusi statistisko informā</w:t>
      </w:r>
      <w:r w:rsidR="00B742D5" w:rsidRPr="00090CDE">
        <w:rPr>
          <w:sz w:val="28"/>
          <w:szCs w:val="28"/>
        </w:rPr>
        <w:t>ciju par tām ģimenēm, kurām 2015</w:t>
      </w:r>
      <w:r w:rsidRPr="00090CDE">
        <w:rPr>
          <w:sz w:val="28"/>
          <w:szCs w:val="28"/>
        </w:rPr>
        <w:t>.gadā</w:t>
      </w:r>
      <w:r w:rsidR="00C3057C" w:rsidRPr="00090CDE">
        <w:rPr>
          <w:sz w:val="28"/>
          <w:szCs w:val="28"/>
        </w:rPr>
        <w:t xml:space="preserve"> pirmreizēji</w:t>
      </w:r>
      <w:r w:rsidRPr="00090CDE">
        <w:rPr>
          <w:sz w:val="28"/>
          <w:szCs w:val="28"/>
        </w:rPr>
        <w:t xml:space="preserve"> piešķirts audžuģimenes statuss</w:t>
      </w:r>
      <w:r w:rsidR="00F66CCE" w:rsidRPr="00090CDE">
        <w:rPr>
          <w:sz w:val="28"/>
          <w:szCs w:val="28"/>
        </w:rPr>
        <w:t xml:space="preserve">. </w:t>
      </w:r>
      <w:r w:rsidR="00740ADF" w:rsidRPr="00090CDE">
        <w:rPr>
          <w:sz w:val="28"/>
          <w:szCs w:val="28"/>
        </w:rPr>
        <w:t>Proti, bāriņtiesas snieguša</w:t>
      </w:r>
      <w:r w:rsidR="00B742D5" w:rsidRPr="00090CDE">
        <w:rPr>
          <w:sz w:val="28"/>
          <w:szCs w:val="28"/>
        </w:rPr>
        <w:t>s informāciju inspekcijai par 34</w:t>
      </w:r>
      <w:r w:rsidR="00740ADF" w:rsidRPr="00090CDE">
        <w:rPr>
          <w:sz w:val="28"/>
          <w:szCs w:val="28"/>
        </w:rPr>
        <w:t xml:space="preserve"> audžuģimenēm, kurām minētajā p</w:t>
      </w:r>
      <w:r w:rsidR="00D31126" w:rsidRPr="00090CDE">
        <w:rPr>
          <w:sz w:val="28"/>
          <w:szCs w:val="28"/>
        </w:rPr>
        <w:t xml:space="preserve">ārskata gadā piešķirts statuss, tas ir </w:t>
      </w:r>
      <w:r w:rsidR="00B742D5" w:rsidRPr="00090CDE">
        <w:rPr>
          <w:sz w:val="28"/>
          <w:szCs w:val="28"/>
        </w:rPr>
        <w:t xml:space="preserve">tikai </w:t>
      </w:r>
      <w:r w:rsidR="00D31126" w:rsidRPr="00090CDE">
        <w:rPr>
          <w:sz w:val="28"/>
          <w:szCs w:val="28"/>
        </w:rPr>
        <w:t xml:space="preserve">par </w:t>
      </w:r>
      <w:r w:rsidR="00B742D5" w:rsidRPr="00090CDE">
        <w:rPr>
          <w:sz w:val="28"/>
          <w:szCs w:val="28"/>
        </w:rPr>
        <w:t>1 audžuģimeni mazāk nekā 2014</w:t>
      </w:r>
      <w:r w:rsidR="00D31126" w:rsidRPr="00090CDE">
        <w:rPr>
          <w:sz w:val="28"/>
          <w:szCs w:val="28"/>
        </w:rPr>
        <w:t xml:space="preserve">.gadā. </w:t>
      </w:r>
    </w:p>
    <w:p w:rsidR="00910DB9" w:rsidRPr="00090CDE" w:rsidRDefault="00910DB9" w:rsidP="00910DB9">
      <w:pPr>
        <w:ind w:firstLine="720"/>
        <w:jc w:val="right"/>
        <w:rPr>
          <w:b/>
          <w:sz w:val="26"/>
          <w:szCs w:val="26"/>
        </w:rPr>
      </w:pPr>
      <w:r w:rsidRPr="00090CDE">
        <w:rPr>
          <w:b/>
          <w:sz w:val="26"/>
          <w:szCs w:val="26"/>
        </w:rPr>
        <w:t>22.diagramma</w:t>
      </w:r>
    </w:p>
    <w:p w:rsidR="00910DB9" w:rsidRPr="00090CDE" w:rsidRDefault="00910DB9" w:rsidP="00910DB9">
      <w:pPr>
        <w:ind w:firstLine="720"/>
        <w:rPr>
          <w:sz w:val="28"/>
          <w:szCs w:val="28"/>
        </w:rPr>
      </w:pPr>
      <w:r w:rsidRPr="00090CDE">
        <w:rPr>
          <w:noProof/>
          <w:lang w:val="en-GB" w:eastAsia="en-GB"/>
        </w:rPr>
        <w:drawing>
          <wp:inline distT="0" distB="0" distL="0" distR="0" wp14:anchorId="76EA866E" wp14:editId="1E34345B">
            <wp:extent cx="5223510" cy="3112851"/>
            <wp:effectExtent l="0" t="0" r="15240" b="1143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E7701" w:rsidRPr="00090CDE" w:rsidRDefault="00910DB9" w:rsidP="007E7701">
      <w:pPr>
        <w:spacing w:after="0"/>
        <w:ind w:firstLine="720"/>
        <w:rPr>
          <w:sz w:val="28"/>
          <w:szCs w:val="28"/>
        </w:rPr>
      </w:pPr>
      <w:r w:rsidRPr="00090CDE">
        <w:rPr>
          <w:sz w:val="28"/>
          <w:szCs w:val="28"/>
        </w:rPr>
        <w:lastRenderedPageBreak/>
        <w:t>Tādējādi, vadoties pēc apkopotajiem datiem 22.diagrammā, 38.lpp., secināms, ka kopumā 2014.un 2015.gadā salīdzinājumā ar 2012.un 2013.gadu mazāk personas izrādījušas gatavību kļūt par audžuģimeni un vērojams piešķirto audžuģimeņu statusu skaita samazinājums gada ietvaros. Proti, salīdzinoši 2012.gadā audžuģimenes statuss piešķirts 51 personai bet 2013.gadā- 53 audžuģimenēm. Minētie dati norāda uz audžuģimeņu institūta attīstības nepieciešamību, tajā skai</w:t>
      </w:r>
      <w:r w:rsidR="007E7701" w:rsidRPr="00090CDE">
        <w:rPr>
          <w:sz w:val="28"/>
          <w:szCs w:val="28"/>
        </w:rPr>
        <w:t>tā jaunu audžuģimeņu piesaisti.</w:t>
      </w:r>
    </w:p>
    <w:p w:rsidR="005A771B" w:rsidRPr="00090CDE" w:rsidRDefault="002B2A5C" w:rsidP="007E7701">
      <w:pPr>
        <w:spacing w:after="0"/>
        <w:ind w:firstLine="720"/>
        <w:rPr>
          <w:sz w:val="28"/>
          <w:szCs w:val="28"/>
        </w:rPr>
      </w:pPr>
      <w:r w:rsidRPr="00090CDE">
        <w:rPr>
          <w:sz w:val="28"/>
          <w:szCs w:val="28"/>
        </w:rPr>
        <w:t xml:space="preserve">Audžuģimenes noteikumi paredz bāriņtiesas pienākumu vismaz reizi gadā izvērtēt audžuģimenē ievietotā bērna aprūpi un viņa tiesību ievērošanu, </w:t>
      </w:r>
      <w:r w:rsidR="007B21F2" w:rsidRPr="00090CDE">
        <w:rPr>
          <w:sz w:val="28"/>
          <w:szCs w:val="28"/>
        </w:rPr>
        <w:t xml:space="preserve">kā arī </w:t>
      </w:r>
      <w:r w:rsidRPr="00090CDE">
        <w:rPr>
          <w:sz w:val="28"/>
          <w:szCs w:val="28"/>
        </w:rPr>
        <w:t>audžuģimenes spējas pienācīgi aprūpēt bērnu, pārbaudīt audžuģimenes dzīves apstākļus, lai pārliecinātos, vai tie nav mainījušies, liedzot iespēju turpmāk veikt audžuģimenes pienākumus.</w:t>
      </w:r>
    </w:p>
    <w:p w:rsidR="00E45BFE" w:rsidRPr="00090CDE" w:rsidRDefault="002B2A5C" w:rsidP="00C92272">
      <w:pPr>
        <w:spacing w:after="0" w:line="240" w:lineRule="auto"/>
        <w:ind w:firstLine="720"/>
        <w:rPr>
          <w:sz w:val="28"/>
          <w:szCs w:val="28"/>
        </w:rPr>
      </w:pPr>
      <w:r w:rsidRPr="00090CDE">
        <w:rPr>
          <w:bCs/>
          <w:sz w:val="28"/>
          <w:szCs w:val="28"/>
        </w:rPr>
        <w:t xml:space="preserve">Bāriņtiesu likuma 25.panta otrajā daļā noteikts, ka bāriņtiesa lemj par audžuģimenes statusa atņemšanu, ja bāriņtiesa konstatē, ka audžuģimene nepilda audžuģimenes pienākumus </w:t>
      </w:r>
      <w:r w:rsidR="007B21F2" w:rsidRPr="00090CDE">
        <w:rPr>
          <w:bCs/>
          <w:sz w:val="28"/>
          <w:szCs w:val="28"/>
        </w:rPr>
        <w:t>atbilstoši bērna interesēm.</w:t>
      </w:r>
      <w:r w:rsidR="00E45BFE" w:rsidRPr="00090CDE">
        <w:rPr>
          <w:sz w:val="28"/>
          <w:szCs w:val="28"/>
        </w:rPr>
        <w:t xml:space="preserve"> Tie ir gadījumi, kad bāriņtiesa pieņēmusi lēmumu atņemt audžuģimenes statusu, ja audžuģimene nepilda audžuģimenes pienākumus atbilstoši bērna interesēm, </w:t>
      </w:r>
      <w:r w:rsidR="00395DD8" w:rsidRPr="00090CDE">
        <w:rPr>
          <w:sz w:val="28"/>
          <w:szCs w:val="28"/>
        </w:rPr>
        <w:t xml:space="preserve">konstatēta audžuģimenes vardarbība pret bērnu vai </w:t>
      </w:r>
      <w:r w:rsidR="00E45BFE" w:rsidRPr="00090CDE">
        <w:rPr>
          <w:sz w:val="28"/>
          <w:szCs w:val="28"/>
        </w:rPr>
        <w:t xml:space="preserve">audžuģimene nepamatoti atsakās no audžuģimenes pienākumu pildīšanas vai pēc bērna uzņemšanas nepamatoti atsakās no tālākās bērna aprūpes. </w:t>
      </w:r>
    </w:p>
    <w:p w:rsidR="0002081B" w:rsidRPr="00090CDE" w:rsidRDefault="00910DB9" w:rsidP="00C92272">
      <w:pPr>
        <w:spacing w:after="0" w:line="240" w:lineRule="auto"/>
        <w:ind w:firstLine="720"/>
        <w:rPr>
          <w:sz w:val="28"/>
          <w:szCs w:val="28"/>
        </w:rPr>
      </w:pPr>
      <w:r w:rsidRPr="00090CDE">
        <w:rPr>
          <w:sz w:val="28"/>
          <w:szCs w:val="28"/>
        </w:rPr>
        <w:t>No 22</w:t>
      </w:r>
      <w:r w:rsidR="004472DA" w:rsidRPr="00090CDE">
        <w:rPr>
          <w:sz w:val="28"/>
          <w:szCs w:val="28"/>
        </w:rPr>
        <w:t>.</w:t>
      </w:r>
      <w:r w:rsidR="00C61AA5" w:rsidRPr="00090CDE">
        <w:rPr>
          <w:sz w:val="28"/>
          <w:szCs w:val="28"/>
        </w:rPr>
        <w:t>diagrammā</w:t>
      </w:r>
      <w:r w:rsidRPr="00090CDE">
        <w:rPr>
          <w:sz w:val="28"/>
          <w:szCs w:val="28"/>
        </w:rPr>
        <w:t xml:space="preserve"> (38</w:t>
      </w:r>
      <w:r w:rsidR="001D036F" w:rsidRPr="00090CDE">
        <w:rPr>
          <w:sz w:val="28"/>
          <w:szCs w:val="28"/>
        </w:rPr>
        <w:t>.lpp.)</w:t>
      </w:r>
      <w:r w:rsidR="00C61AA5" w:rsidRPr="00090CDE">
        <w:rPr>
          <w:sz w:val="28"/>
          <w:szCs w:val="28"/>
        </w:rPr>
        <w:t xml:space="preserve"> apkopotajiem datiem secināms, ka pēdējo trīs gadu laikā li</w:t>
      </w:r>
      <w:r w:rsidR="0002081B" w:rsidRPr="00090CDE">
        <w:rPr>
          <w:sz w:val="28"/>
          <w:szCs w:val="28"/>
        </w:rPr>
        <w:t>elākais audžuģimeņu skaits, ka</w:t>
      </w:r>
      <w:r w:rsidR="00C61AA5" w:rsidRPr="00090CDE">
        <w:rPr>
          <w:sz w:val="28"/>
          <w:szCs w:val="28"/>
        </w:rPr>
        <w:t>m atņemts statuss</w:t>
      </w:r>
      <w:r w:rsidR="0002081B" w:rsidRPr="00090CDE">
        <w:rPr>
          <w:sz w:val="28"/>
          <w:szCs w:val="28"/>
        </w:rPr>
        <w:t>, jo konstatēts, ka audžuģimene nepilda savus pienākumus atbilstoši bērna interesēm vai atklāti bērnu tiesību pārkāpumi audžuģimenes rīcībā,</w:t>
      </w:r>
      <w:r w:rsidR="00C61AA5" w:rsidRPr="00090CDE">
        <w:rPr>
          <w:sz w:val="28"/>
          <w:szCs w:val="28"/>
        </w:rPr>
        <w:t xml:space="preserve"> ir fiksēts 2012.gadā, respektīvi, 24 personām ar bāriņtiesas lēmumu atņemts audžuģimenes statuss, kas nozīmē to, ka bāriņtiesām savas kompetences ietvaros bija nepieciešams izvērtēt iespējas bērniem nodrošināt </w:t>
      </w:r>
      <w:r w:rsidR="00C332C4" w:rsidRPr="00090CDE">
        <w:rPr>
          <w:sz w:val="28"/>
          <w:szCs w:val="28"/>
        </w:rPr>
        <w:t xml:space="preserve">aprūpi citā audžuģimenē vai izvēlēties </w:t>
      </w:r>
      <w:r w:rsidR="00C61AA5" w:rsidRPr="00090CDE">
        <w:rPr>
          <w:sz w:val="28"/>
          <w:szCs w:val="28"/>
        </w:rPr>
        <w:t xml:space="preserve">citu ārpusģimenes aprūpes formu. 2013.gadā </w:t>
      </w:r>
      <w:r w:rsidR="006200C3" w:rsidRPr="00090CDE">
        <w:rPr>
          <w:sz w:val="28"/>
          <w:szCs w:val="28"/>
        </w:rPr>
        <w:t xml:space="preserve">un identiski 2014.gadā </w:t>
      </w:r>
      <w:r w:rsidR="00C61AA5" w:rsidRPr="00090CDE">
        <w:rPr>
          <w:sz w:val="28"/>
          <w:szCs w:val="28"/>
        </w:rPr>
        <w:t>informācija sniegta par 13 šādām audžuģimenēm, kas ir gandrīz uz pusi mazāk kā 2012.gadā</w:t>
      </w:r>
      <w:r w:rsidR="003306D4" w:rsidRPr="00090CDE">
        <w:rPr>
          <w:sz w:val="28"/>
          <w:szCs w:val="28"/>
        </w:rPr>
        <w:t xml:space="preserve">. </w:t>
      </w:r>
      <w:r w:rsidRPr="00090CDE">
        <w:rPr>
          <w:sz w:val="28"/>
          <w:szCs w:val="28"/>
        </w:rPr>
        <w:t xml:space="preserve">Savukārt 2015.gadā ar bāriņtiesas </w:t>
      </w:r>
      <w:r w:rsidR="00D11C9F">
        <w:rPr>
          <w:sz w:val="28"/>
          <w:szCs w:val="28"/>
        </w:rPr>
        <w:t>lēmumu audžuģimenes statuss atņe</w:t>
      </w:r>
      <w:r w:rsidRPr="00090CDE">
        <w:rPr>
          <w:sz w:val="28"/>
          <w:szCs w:val="28"/>
        </w:rPr>
        <w:t>mts tikai 2 audžuģimenēm, t.i., par 11 audžuģimenēm mazāk nekā 2013. un 2014.gadā.</w:t>
      </w:r>
    </w:p>
    <w:p w:rsidR="007B21F2" w:rsidRPr="00090CDE" w:rsidRDefault="0002081B" w:rsidP="007B21F2">
      <w:pPr>
        <w:spacing w:after="0" w:line="240" w:lineRule="auto"/>
        <w:ind w:firstLine="720"/>
        <w:rPr>
          <w:sz w:val="28"/>
          <w:szCs w:val="28"/>
        </w:rPr>
      </w:pPr>
      <w:r w:rsidRPr="00090CDE">
        <w:rPr>
          <w:sz w:val="28"/>
          <w:szCs w:val="28"/>
        </w:rPr>
        <w:t>Vienlaikus i</w:t>
      </w:r>
      <w:r w:rsidR="003306D4" w:rsidRPr="00090CDE">
        <w:rPr>
          <w:sz w:val="28"/>
          <w:szCs w:val="28"/>
        </w:rPr>
        <w:t>nspekcijas</w:t>
      </w:r>
      <w:r w:rsidR="003A7342" w:rsidRPr="00090CDE">
        <w:rPr>
          <w:sz w:val="28"/>
          <w:szCs w:val="28"/>
        </w:rPr>
        <w:t xml:space="preserve"> rīcībā ir informācija, ka par 2</w:t>
      </w:r>
      <w:r w:rsidR="003306D4" w:rsidRPr="00090CDE">
        <w:rPr>
          <w:sz w:val="28"/>
          <w:szCs w:val="28"/>
        </w:rPr>
        <w:t xml:space="preserve"> audžuģimeņu pārkāpumiem, pildot audžuģimenes pienākumus, bāriņtiesas</w:t>
      </w:r>
      <w:r w:rsidR="003A7342" w:rsidRPr="00090CDE">
        <w:rPr>
          <w:sz w:val="28"/>
          <w:szCs w:val="28"/>
        </w:rPr>
        <w:t xml:space="preserve"> 2015</w:t>
      </w:r>
      <w:r w:rsidR="006200C3" w:rsidRPr="00090CDE">
        <w:rPr>
          <w:sz w:val="28"/>
          <w:szCs w:val="28"/>
        </w:rPr>
        <w:t xml:space="preserve">.gadā </w:t>
      </w:r>
      <w:r w:rsidR="003306D4" w:rsidRPr="00090CDE">
        <w:rPr>
          <w:sz w:val="28"/>
          <w:szCs w:val="28"/>
        </w:rPr>
        <w:t xml:space="preserve"> informējuša</w:t>
      </w:r>
      <w:r w:rsidR="007B21F2" w:rsidRPr="00090CDE">
        <w:rPr>
          <w:sz w:val="28"/>
          <w:szCs w:val="28"/>
        </w:rPr>
        <w:t>s tiesībsargājošās institūcijas</w:t>
      </w:r>
      <w:r w:rsidR="00FA23F6" w:rsidRPr="00090CDE">
        <w:rPr>
          <w:sz w:val="28"/>
          <w:szCs w:val="28"/>
        </w:rPr>
        <w:t>.</w:t>
      </w:r>
      <w:r w:rsidR="003A7342" w:rsidRPr="00090CDE">
        <w:rPr>
          <w:sz w:val="28"/>
          <w:szCs w:val="28"/>
        </w:rPr>
        <w:t xml:space="preserve"> Salīdzinoši 2014.gadā attiecīga informācija par audžuģimenēm sniegta 4 gadījumos. </w:t>
      </w:r>
    </w:p>
    <w:p w:rsidR="007B21F2" w:rsidRPr="00090CDE" w:rsidRDefault="007B21F2" w:rsidP="007B21F2">
      <w:pPr>
        <w:spacing w:after="0" w:line="240" w:lineRule="auto"/>
        <w:ind w:firstLine="720"/>
        <w:rPr>
          <w:sz w:val="10"/>
          <w:szCs w:val="10"/>
        </w:rPr>
      </w:pPr>
    </w:p>
    <w:p w:rsidR="00E45BFE" w:rsidRPr="00090CDE" w:rsidRDefault="007B21F2" w:rsidP="00FA31CA">
      <w:pPr>
        <w:spacing w:after="0" w:line="240" w:lineRule="auto"/>
        <w:ind w:firstLine="720"/>
        <w:rPr>
          <w:sz w:val="28"/>
          <w:szCs w:val="28"/>
        </w:rPr>
      </w:pPr>
      <w:r w:rsidRPr="00090CDE">
        <w:rPr>
          <w:sz w:val="28"/>
          <w:szCs w:val="28"/>
        </w:rPr>
        <w:t xml:space="preserve">Tostarp </w:t>
      </w:r>
      <w:r w:rsidR="00FA31CA" w:rsidRPr="00090CDE">
        <w:rPr>
          <w:bCs/>
          <w:sz w:val="28"/>
          <w:szCs w:val="28"/>
        </w:rPr>
        <w:t xml:space="preserve">Bāriņtiesu likuma 25.panta otrā prim daļa paredz bāriņtiesai savu pilnvaru ietvaros lemt par audžuģimenes statusa izbeigšanu, ja audžuģimene pati ir izteikusi tādu vēlēšanos vai ir mainījušies tiesiskie apstākļi, kas bijuši par pamatu audžuģimenes statusa piešķiršanai un ietekmē audžuģimenes spēju turpmāk veikt audžuģimenes pienākumus. Attiecībā uz tiesiskajiem apstākļiem, </w:t>
      </w:r>
      <w:r w:rsidR="00FA31CA" w:rsidRPr="00090CDE">
        <w:rPr>
          <w:sz w:val="28"/>
          <w:szCs w:val="28"/>
        </w:rPr>
        <w:t>t</w:t>
      </w:r>
      <w:r w:rsidR="00E45BFE" w:rsidRPr="00090CDE">
        <w:rPr>
          <w:sz w:val="28"/>
          <w:szCs w:val="28"/>
        </w:rPr>
        <w:t xml:space="preserve">ie ir gadījumi, kad audžuģimene </w:t>
      </w:r>
      <w:r w:rsidR="00AC349D" w:rsidRPr="00090CDE">
        <w:rPr>
          <w:sz w:val="28"/>
          <w:szCs w:val="28"/>
        </w:rPr>
        <w:t>informējusi bāriņtiesu par Audžuģimenes noteikumu 23.</w:t>
      </w:r>
      <w:r w:rsidR="00AC349D" w:rsidRPr="00090CDE">
        <w:rPr>
          <w:sz w:val="28"/>
          <w:szCs w:val="28"/>
          <w:vertAlign w:val="superscript"/>
        </w:rPr>
        <w:t>2</w:t>
      </w:r>
      <w:r w:rsidR="00AC349D" w:rsidRPr="00090CDE">
        <w:rPr>
          <w:sz w:val="28"/>
          <w:szCs w:val="28"/>
        </w:rPr>
        <w:t xml:space="preserve"> punktā minētajiem apstākļiem, kuri būtiski ietekmē laulāto (personas) spēju turpmāk veikt audžuģimenes pienākumus, piemēram, stāšanos laulībā, ja audžuģime</w:t>
      </w:r>
      <w:r w:rsidR="005269BE" w:rsidRPr="00090CDE">
        <w:rPr>
          <w:sz w:val="28"/>
          <w:szCs w:val="28"/>
        </w:rPr>
        <w:t xml:space="preserve">nes statuss </w:t>
      </w:r>
      <w:r w:rsidR="005269BE" w:rsidRPr="00090CDE">
        <w:rPr>
          <w:sz w:val="28"/>
          <w:szCs w:val="28"/>
        </w:rPr>
        <w:lastRenderedPageBreak/>
        <w:t>piešķirts personai. Bāriņtiesa savas kompetences ietvaros</w:t>
      </w:r>
      <w:r w:rsidR="00E45BFE" w:rsidRPr="00090CDE">
        <w:rPr>
          <w:sz w:val="28"/>
          <w:szCs w:val="28"/>
        </w:rPr>
        <w:t xml:space="preserve"> mēneša laikā pēc minētās informācijas saņemšanas izvērtē to, pārbauda audžuģ</w:t>
      </w:r>
      <w:r w:rsidR="005129F5" w:rsidRPr="00090CDE">
        <w:rPr>
          <w:sz w:val="28"/>
          <w:szCs w:val="28"/>
        </w:rPr>
        <w:t>imenes dzīves apstākļus,</w:t>
      </w:r>
      <w:r w:rsidR="0088616C" w:rsidRPr="00090CDE">
        <w:rPr>
          <w:sz w:val="28"/>
          <w:szCs w:val="28"/>
        </w:rPr>
        <w:t xml:space="preserve"> </w:t>
      </w:r>
      <w:r w:rsidR="00E45BFE" w:rsidRPr="00090CDE">
        <w:rPr>
          <w:sz w:val="28"/>
          <w:szCs w:val="28"/>
        </w:rPr>
        <w:t>noskaidro laulāto (personas) viedokli par spēju turpmāk veikt audžuģimenes pienākumus;</w:t>
      </w:r>
      <w:r w:rsidR="0088616C" w:rsidRPr="00090CDE">
        <w:rPr>
          <w:sz w:val="28"/>
          <w:szCs w:val="28"/>
        </w:rPr>
        <w:t xml:space="preserve"> </w:t>
      </w:r>
      <w:r w:rsidR="00E45BFE" w:rsidRPr="00090CDE">
        <w:rPr>
          <w:sz w:val="28"/>
          <w:szCs w:val="28"/>
        </w:rPr>
        <w:t>nosūta laulātos (personu) pie psihologa atzinuma saņemšanai par spēju</w:t>
      </w:r>
      <w:r w:rsidR="0088616C" w:rsidRPr="00090CDE">
        <w:rPr>
          <w:sz w:val="28"/>
          <w:szCs w:val="28"/>
        </w:rPr>
        <w:t xml:space="preserve"> </w:t>
      </w:r>
      <w:r w:rsidR="00E45BFE" w:rsidRPr="00090CDE">
        <w:rPr>
          <w:sz w:val="28"/>
          <w:szCs w:val="28"/>
        </w:rPr>
        <w:t>turpmā</w:t>
      </w:r>
      <w:r w:rsidR="005129F5" w:rsidRPr="00090CDE">
        <w:rPr>
          <w:sz w:val="28"/>
          <w:szCs w:val="28"/>
        </w:rPr>
        <w:t xml:space="preserve">k veikt audžuģimenes pienākumus un veic citas </w:t>
      </w:r>
      <w:r w:rsidR="005269BE" w:rsidRPr="00090CDE">
        <w:rPr>
          <w:sz w:val="28"/>
          <w:szCs w:val="28"/>
        </w:rPr>
        <w:t>minētajos</w:t>
      </w:r>
      <w:r w:rsidR="005129F5" w:rsidRPr="00090CDE">
        <w:rPr>
          <w:sz w:val="28"/>
          <w:szCs w:val="28"/>
        </w:rPr>
        <w:t xml:space="preserve"> noteikumos minētās darbības, izvērtējot ģimenes situāciju un, </w:t>
      </w:r>
      <w:r w:rsidR="00E45BFE" w:rsidRPr="00090CDE">
        <w:rPr>
          <w:sz w:val="28"/>
          <w:szCs w:val="28"/>
        </w:rPr>
        <w:t xml:space="preserve">ja nepieciešams, iegūst </w:t>
      </w:r>
      <w:r w:rsidR="005129F5" w:rsidRPr="00090CDE">
        <w:rPr>
          <w:sz w:val="28"/>
          <w:szCs w:val="28"/>
        </w:rPr>
        <w:t xml:space="preserve">papildus citu būtisku informāciju. </w:t>
      </w:r>
      <w:r w:rsidR="00E45BFE" w:rsidRPr="00090CDE">
        <w:rPr>
          <w:sz w:val="28"/>
          <w:szCs w:val="28"/>
        </w:rPr>
        <w:t>Pamatojoties uz minēto izvērtējumu, bāriņtiesa 10 darba dienu laikā lemj par audžuģimenes statusu.</w:t>
      </w:r>
      <w:r w:rsidR="00E45BFE" w:rsidRPr="00090CDE">
        <w:rPr>
          <w:szCs w:val="24"/>
        </w:rPr>
        <w:t xml:space="preserve"> </w:t>
      </w:r>
    </w:p>
    <w:p w:rsidR="00C52374" w:rsidRPr="00090CDE" w:rsidRDefault="00E45BFE" w:rsidP="005129F5">
      <w:pPr>
        <w:spacing w:after="0" w:line="240" w:lineRule="auto"/>
        <w:rPr>
          <w:sz w:val="28"/>
          <w:szCs w:val="28"/>
        </w:rPr>
      </w:pPr>
      <w:r w:rsidRPr="00090CDE">
        <w:rPr>
          <w:sz w:val="28"/>
          <w:szCs w:val="28"/>
        </w:rPr>
        <w:tab/>
      </w:r>
      <w:r w:rsidR="00275AD5" w:rsidRPr="00090CDE">
        <w:rPr>
          <w:sz w:val="28"/>
          <w:szCs w:val="28"/>
        </w:rPr>
        <w:t>Izvērtējot bāriņtiesu rīcībā esošos datus</w:t>
      </w:r>
      <w:r w:rsidR="004A24A8" w:rsidRPr="00090CDE">
        <w:rPr>
          <w:sz w:val="28"/>
          <w:szCs w:val="28"/>
        </w:rPr>
        <w:t xml:space="preserve"> (skatīt 22</w:t>
      </w:r>
      <w:r w:rsidR="005269BE" w:rsidRPr="00090CDE">
        <w:rPr>
          <w:sz w:val="28"/>
          <w:szCs w:val="28"/>
        </w:rPr>
        <w:t>.diagrammu</w:t>
      </w:r>
      <w:r w:rsidR="004A24A8" w:rsidRPr="00090CDE">
        <w:rPr>
          <w:sz w:val="28"/>
          <w:szCs w:val="28"/>
        </w:rPr>
        <w:t>, 38.lpp.</w:t>
      </w:r>
      <w:r w:rsidR="005269BE" w:rsidRPr="00090CDE">
        <w:rPr>
          <w:sz w:val="28"/>
          <w:szCs w:val="28"/>
        </w:rPr>
        <w:t>)</w:t>
      </w:r>
      <w:r w:rsidR="00FA23F6" w:rsidRPr="00090CDE">
        <w:rPr>
          <w:sz w:val="28"/>
          <w:szCs w:val="28"/>
        </w:rPr>
        <w:t>, noskaidrots, ka 201</w:t>
      </w:r>
      <w:r w:rsidR="004A24A8" w:rsidRPr="00090CDE">
        <w:rPr>
          <w:sz w:val="28"/>
          <w:szCs w:val="28"/>
        </w:rPr>
        <w:t>5</w:t>
      </w:r>
      <w:r w:rsidR="00275AD5" w:rsidRPr="00090CDE">
        <w:rPr>
          <w:sz w:val="28"/>
          <w:szCs w:val="28"/>
        </w:rPr>
        <w:t xml:space="preserve">.gadā </w:t>
      </w:r>
      <w:r w:rsidR="004A24A8" w:rsidRPr="00090CDE">
        <w:rPr>
          <w:sz w:val="28"/>
          <w:szCs w:val="28"/>
        </w:rPr>
        <w:t xml:space="preserve">līdzīgi kā 2014.gadā </w:t>
      </w:r>
      <w:r w:rsidR="00275AD5" w:rsidRPr="00090CDE">
        <w:rPr>
          <w:sz w:val="28"/>
          <w:szCs w:val="28"/>
        </w:rPr>
        <w:t>bāriņtiesas pieņēmušas</w:t>
      </w:r>
      <w:r w:rsidR="004A24A8" w:rsidRPr="00090CDE">
        <w:rPr>
          <w:sz w:val="28"/>
          <w:szCs w:val="28"/>
        </w:rPr>
        <w:t xml:space="preserve"> izbeigt audžuģimenes statusu 29</w:t>
      </w:r>
      <w:r w:rsidR="00275AD5" w:rsidRPr="00090CDE">
        <w:rPr>
          <w:sz w:val="28"/>
          <w:szCs w:val="28"/>
        </w:rPr>
        <w:t xml:space="preserve"> audžuģimenēm</w:t>
      </w:r>
      <w:r w:rsidR="004A24A8" w:rsidRPr="00090CDE">
        <w:rPr>
          <w:sz w:val="28"/>
          <w:szCs w:val="28"/>
        </w:rPr>
        <w:t xml:space="preserve"> (2014.gadā attiecīgs lēmums pieņemts par 28 audžuģimenēm</w:t>
      </w:r>
      <w:r w:rsidR="00275AD5" w:rsidRPr="00090CDE">
        <w:rPr>
          <w:sz w:val="28"/>
          <w:szCs w:val="28"/>
        </w:rPr>
        <w:t>, 2012.gadā</w:t>
      </w:r>
      <w:r w:rsidR="00275AD5" w:rsidRPr="00090CDE">
        <w:rPr>
          <w:b/>
          <w:sz w:val="28"/>
          <w:szCs w:val="28"/>
        </w:rPr>
        <w:t>-</w:t>
      </w:r>
      <w:r w:rsidR="00275AD5" w:rsidRPr="00090CDE">
        <w:rPr>
          <w:sz w:val="28"/>
          <w:szCs w:val="28"/>
        </w:rPr>
        <w:t xml:space="preserve"> 25 audžuģimenēm un 2013.gadā</w:t>
      </w:r>
      <w:r w:rsidR="00275AD5" w:rsidRPr="00090CDE">
        <w:rPr>
          <w:b/>
          <w:sz w:val="28"/>
          <w:szCs w:val="28"/>
        </w:rPr>
        <w:t>-</w:t>
      </w:r>
      <w:r w:rsidR="00275AD5" w:rsidRPr="00090CDE">
        <w:rPr>
          <w:sz w:val="28"/>
          <w:szCs w:val="28"/>
        </w:rPr>
        <w:t xml:space="preserve"> 22 audžuģimenēm. </w:t>
      </w:r>
    </w:p>
    <w:p w:rsidR="00FA23F6" w:rsidRPr="00090CDE" w:rsidRDefault="00FA23F6" w:rsidP="005129F5">
      <w:pPr>
        <w:spacing w:after="0" w:line="240" w:lineRule="auto"/>
        <w:rPr>
          <w:sz w:val="28"/>
          <w:szCs w:val="28"/>
        </w:rPr>
      </w:pPr>
    </w:p>
    <w:p w:rsidR="0027036D" w:rsidRPr="00090CDE" w:rsidRDefault="008E2FCB" w:rsidP="00FA23F6">
      <w:pPr>
        <w:pStyle w:val="Heading2"/>
      </w:pPr>
      <w:bookmarkStart w:id="20" w:name="_Toc455138998"/>
      <w:r w:rsidRPr="00090CDE">
        <w:t>5</w:t>
      </w:r>
      <w:r w:rsidR="00FA23F6" w:rsidRPr="00090CDE">
        <w:t>.3.</w:t>
      </w:r>
      <w:r w:rsidR="0027036D" w:rsidRPr="00090CDE">
        <w:t>Bērnu turpmākā aprūpe</w:t>
      </w:r>
      <w:r w:rsidR="00FA23F6" w:rsidRPr="00090CDE">
        <w:t xml:space="preserve"> pēc aprūpes audžuģimenē izbeigšanas</w:t>
      </w:r>
      <w:bookmarkEnd w:id="20"/>
    </w:p>
    <w:p w:rsidR="00B20380" w:rsidRPr="00090CDE" w:rsidRDefault="00275AD5" w:rsidP="005269BE">
      <w:pPr>
        <w:pStyle w:val="tv213"/>
        <w:ind w:firstLine="720"/>
        <w:jc w:val="both"/>
        <w:rPr>
          <w:sz w:val="28"/>
          <w:szCs w:val="28"/>
        </w:rPr>
      </w:pPr>
      <w:r w:rsidRPr="00090CDE">
        <w:rPr>
          <w:sz w:val="28"/>
          <w:szCs w:val="28"/>
        </w:rPr>
        <w:t>Audžuģimenes n</w:t>
      </w:r>
      <w:r w:rsidR="00F21B54" w:rsidRPr="00090CDE">
        <w:rPr>
          <w:sz w:val="28"/>
          <w:szCs w:val="28"/>
        </w:rPr>
        <w:t>oteikumu 31.2. punktā minēti iemesli, kuru dēļ bāriņtiesa pieņem lēmumu par bērna uzturēšanās izbeigšanu audžuģimenē, proti, bērna atgriešanās ģimenē, bērna adopcija, aizbildņa iecelšana bērnam, konfliktsituācijas izveidošanās starp bērnu un audžuģimeni, audžuģimenes nespēja pildīt pienākumus, audžuģimenes statusa atņemšana. Gadījumos, kad nav iespējama bērna turpmākā uzturēšanās esošajā audžuģimenē, bāriņtiesa atbilstoši kompetencei apzina iespēj</w:t>
      </w:r>
      <w:r w:rsidR="005269BE" w:rsidRPr="00090CDE">
        <w:rPr>
          <w:sz w:val="28"/>
          <w:szCs w:val="28"/>
        </w:rPr>
        <w:t>as bērnam nodibināt aizbildnību vai</w:t>
      </w:r>
      <w:r w:rsidR="00F21B54" w:rsidRPr="00090CDE">
        <w:rPr>
          <w:sz w:val="28"/>
          <w:szCs w:val="28"/>
        </w:rPr>
        <w:t xml:space="preserve"> nod</w:t>
      </w:r>
      <w:r w:rsidR="005269BE" w:rsidRPr="00090CDE">
        <w:rPr>
          <w:sz w:val="28"/>
          <w:szCs w:val="28"/>
        </w:rPr>
        <w:t>rošināt aprūpi citā audžuģimenē</w:t>
      </w:r>
      <w:r w:rsidR="00F21B54" w:rsidRPr="00090CDE">
        <w:rPr>
          <w:sz w:val="28"/>
          <w:szCs w:val="28"/>
        </w:rPr>
        <w:t xml:space="preserve"> un</w:t>
      </w:r>
      <w:r w:rsidR="005269BE" w:rsidRPr="00090CDE">
        <w:rPr>
          <w:sz w:val="28"/>
          <w:szCs w:val="28"/>
        </w:rPr>
        <w:t>,</w:t>
      </w:r>
      <w:r w:rsidR="00F21B54" w:rsidRPr="00090CDE">
        <w:rPr>
          <w:sz w:val="28"/>
          <w:szCs w:val="28"/>
        </w:rPr>
        <w:t xml:space="preserve"> ja </w:t>
      </w:r>
      <w:r w:rsidR="005269BE" w:rsidRPr="00090CDE">
        <w:rPr>
          <w:sz w:val="28"/>
          <w:szCs w:val="28"/>
        </w:rPr>
        <w:t xml:space="preserve">tas </w:t>
      </w:r>
      <w:r w:rsidR="00F21B54" w:rsidRPr="00090CDE">
        <w:rPr>
          <w:sz w:val="28"/>
          <w:szCs w:val="28"/>
        </w:rPr>
        <w:t xml:space="preserve">nav iespējams, tad </w:t>
      </w:r>
      <w:r w:rsidR="005269BE" w:rsidRPr="00090CDE">
        <w:rPr>
          <w:sz w:val="28"/>
          <w:szCs w:val="28"/>
        </w:rPr>
        <w:t xml:space="preserve">nodrošina aprūpi </w:t>
      </w:r>
      <w:r w:rsidR="00F21B54" w:rsidRPr="00090CDE">
        <w:rPr>
          <w:sz w:val="28"/>
          <w:szCs w:val="28"/>
        </w:rPr>
        <w:t xml:space="preserve">institūcijā. </w:t>
      </w:r>
    </w:p>
    <w:p w:rsidR="00F717E9" w:rsidRPr="00090CDE" w:rsidRDefault="004A24A8" w:rsidP="004047EB">
      <w:pPr>
        <w:spacing w:before="120" w:line="360" w:lineRule="auto"/>
        <w:jc w:val="right"/>
        <w:rPr>
          <w:b/>
          <w:sz w:val="26"/>
          <w:szCs w:val="26"/>
        </w:rPr>
      </w:pPr>
      <w:r w:rsidRPr="00090CDE">
        <w:rPr>
          <w:b/>
          <w:sz w:val="26"/>
          <w:szCs w:val="26"/>
        </w:rPr>
        <w:t>23</w:t>
      </w:r>
      <w:r w:rsidR="00B20380" w:rsidRPr="00090CDE">
        <w:rPr>
          <w:b/>
          <w:sz w:val="26"/>
          <w:szCs w:val="26"/>
        </w:rPr>
        <w:t>.diagramma</w:t>
      </w:r>
      <w:bookmarkStart w:id="21" w:name="p255"/>
      <w:bookmarkStart w:id="22" w:name="p-35450"/>
      <w:bookmarkEnd w:id="21"/>
      <w:bookmarkEnd w:id="22"/>
    </w:p>
    <w:p w:rsidR="00F717E9" w:rsidRPr="00090CDE" w:rsidRDefault="00F717E9" w:rsidP="002C6358">
      <w:pPr>
        <w:spacing w:before="120" w:after="0" w:line="240" w:lineRule="auto"/>
        <w:jc w:val="center"/>
        <w:rPr>
          <w:sz w:val="28"/>
          <w:szCs w:val="28"/>
        </w:rPr>
      </w:pPr>
      <w:r w:rsidRPr="00090CDE">
        <w:rPr>
          <w:noProof/>
          <w:lang w:val="en-GB" w:eastAsia="en-GB"/>
        </w:rPr>
        <w:drawing>
          <wp:inline distT="0" distB="0" distL="0" distR="0" wp14:anchorId="53C94D6A" wp14:editId="6CABCAD9">
            <wp:extent cx="5771515" cy="3754876"/>
            <wp:effectExtent l="0" t="0" r="635" b="17145"/>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4C2C3E" w:rsidRPr="00090CDE" w:rsidRDefault="00A33943" w:rsidP="004C2C3E">
      <w:pPr>
        <w:spacing w:before="120" w:after="0" w:line="240" w:lineRule="auto"/>
        <w:ind w:firstLine="720"/>
        <w:rPr>
          <w:sz w:val="28"/>
          <w:szCs w:val="28"/>
        </w:rPr>
      </w:pPr>
      <w:r w:rsidRPr="00090CDE">
        <w:rPr>
          <w:sz w:val="28"/>
          <w:szCs w:val="28"/>
        </w:rPr>
        <w:lastRenderedPageBreak/>
        <w:t xml:space="preserve">Apkopojot statistikas datus, noskaidrots, ka </w:t>
      </w:r>
      <w:r w:rsidR="004C2C3E" w:rsidRPr="00090CDE">
        <w:rPr>
          <w:sz w:val="28"/>
          <w:szCs w:val="28"/>
        </w:rPr>
        <w:t>2015.gadā kopumā 267 bērniem dažādu iemeslu dēļ izbeigta uzturēšanās audžuģimenē. Salīdzinoši 2014.gadā tas bija 341 bērns.</w:t>
      </w:r>
    </w:p>
    <w:p w:rsidR="004C2C3E" w:rsidRPr="00090CDE" w:rsidRDefault="00FC2D80" w:rsidP="004C2C3E">
      <w:pPr>
        <w:spacing w:after="0" w:line="240" w:lineRule="auto"/>
        <w:ind w:firstLine="720"/>
        <w:rPr>
          <w:sz w:val="28"/>
          <w:szCs w:val="28"/>
        </w:rPr>
      </w:pPr>
      <w:r w:rsidRPr="00090CDE">
        <w:rPr>
          <w:sz w:val="28"/>
          <w:szCs w:val="28"/>
        </w:rPr>
        <w:t>Bāriņtiesu snie</w:t>
      </w:r>
      <w:r w:rsidR="00A33943" w:rsidRPr="00090CDE">
        <w:rPr>
          <w:sz w:val="28"/>
          <w:szCs w:val="28"/>
        </w:rPr>
        <w:t>gtās informācijas apkopoju</w:t>
      </w:r>
      <w:r w:rsidR="004C2C3E" w:rsidRPr="00090CDE">
        <w:rPr>
          <w:sz w:val="28"/>
          <w:szCs w:val="28"/>
        </w:rPr>
        <w:t>ms 23</w:t>
      </w:r>
      <w:r w:rsidR="005269BE" w:rsidRPr="00090CDE">
        <w:rPr>
          <w:sz w:val="28"/>
          <w:szCs w:val="28"/>
        </w:rPr>
        <w:t>.</w:t>
      </w:r>
      <w:r w:rsidRPr="00090CDE">
        <w:rPr>
          <w:sz w:val="28"/>
          <w:szCs w:val="28"/>
        </w:rPr>
        <w:t xml:space="preserve">diagrammā uzskatāmi parāda, ka </w:t>
      </w:r>
      <w:r w:rsidR="007F27F5" w:rsidRPr="00090CDE">
        <w:rPr>
          <w:sz w:val="28"/>
          <w:szCs w:val="28"/>
        </w:rPr>
        <w:t>vislielākais</w:t>
      </w:r>
      <w:r w:rsidRPr="00090CDE">
        <w:rPr>
          <w:sz w:val="28"/>
          <w:szCs w:val="28"/>
        </w:rPr>
        <w:t xml:space="preserve"> </w:t>
      </w:r>
      <w:r w:rsidR="007F27F5" w:rsidRPr="00090CDE">
        <w:rPr>
          <w:sz w:val="28"/>
          <w:szCs w:val="28"/>
        </w:rPr>
        <w:t>bērnu skaits</w:t>
      </w:r>
      <w:r w:rsidR="005269BE" w:rsidRPr="00090CDE">
        <w:rPr>
          <w:sz w:val="28"/>
          <w:szCs w:val="28"/>
        </w:rPr>
        <w:t xml:space="preserve">, proti, </w:t>
      </w:r>
      <w:r w:rsidR="004C2C3E" w:rsidRPr="00090CDE">
        <w:rPr>
          <w:sz w:val="28"/>
          <w:szCs w:val="28"/>
        </w:rPr>
        <w:t>55</w:t>
      </w:r>
      <w:r w:rsidR="005269BE" w:rsidRPr="00090CDE">
        <w:rPr>
          <w:sz w:val="28"/>
          <w:szCs w:val="28"/>
        </w:rPr>
        <w:t xml:space="preserve"> </w:t>
      </w:r>
      <w:r w:rsidR="004C2C3E" w:rsidRPr="00090CDE">
        <w:rPr>
          <w:sz w:val="28"/>
          <w:szCs w:val="28"/>
        </w:rPr>
        <w:t>jeb 20,59</w:t>
      </w:r>
      <w:r w:rsidR="007F27F5" w:rsidRPr="00090CDE">
        <w:rPr>
          <w:sz w:val="28"/>
          <w:szCs w:val="28"/>
        </w:rPr>
        <w:t>% ir a</w:t>
      </w:r>
      <w:r w:rsidR="004C2C3E" w:rsidRPr="00090CDE">
        <w:rPr>
          <w:sz w:val="28"/>
          <w:szCs w:val="28"/>
        </w:rPr>
        <w:t>doptētie bērni. Salīdzinoši 2014.gadā sniegtas ziņas par 82</w:t>
      </w:r>
      <w:r w:rsidR="007F27F5" w:rsidRPr="00090CDE">
        <w:rPr>
          <w:sz w:val="28"/>
          <w:szCs w:val="28"/>
        </w:rPr>
        <w:t xml:space="preserve"> adoptētiem bērniem, kas iepriekš atradušies audžuģimenes aprūpē. </w:t>
      </w:r>
      <w:r w:rsidR="004C2C3E" w:rsidRPr="00090CDE">
        <w:rPr>
          <w:sz w:val="28"/>
          <w:szCs w:val="28"/>
        </w:rPr>
        <w:t>Vienlaikus noskaidrots, ka 46 (17,2</w:t>
      </w:r>
      <w:r w:rsidR="007F27F5" w:rsidRPr="00090CDE">
        <w:rPr>
          <w:sz w:val="28"/>
          <w:szCs w:val="28"/>
        </w:rPr>
        <w:t>2%) bēr</w:t>
      </w:r>
      <w:r w:rsidR="004C2C3E" w:rsidRPr="00090CDE">
        <w:rPr>
          <w:sz w:val="28"/>
          <w:szCs w:val="28"/>
        </w:rPr>
        <w:t>nu aprūpe audžuģimenē 2015</w:t>
      </w:r>
      <w:r w:rsidR="007F27F5" w:rsidRPr="00090CDE">
        <w:rPr>
          <w:sz w:val="28"/>
          <w:szCs w:val="28"/>
        </w:rPr>
        <w:t>.gadā izbeigta tāpēc, ka viņu vecākiem atjaunotas pārtrauktās aizgādības tiesības un bērni atgriezušies vecāka aprūpē</w:t>
      </w:r>
      <w:r w:rsidR="004C2C3E" w:rsidRPr="00090CDE">
        <w:rPr>
          <w:sz w:val="28"/>
          <w:szCs w:val="28"/>
        </w:rPr>
        <w:t xml:space="preserve"> ( 2014.gadā sniegti dati par 70 bērniem)</w:t>
      </w:r>
      <w:r w:rsidR="007F27F5" w:rsidRPr="00090CDE">
        <w:rPr>
          <w:sz w:val="28"/>
          <w:szCs w:val="28"/>
        </w:rPr>
        <w:t>.</w:t>
      </w:r>
      <w:r w:rsidR="00735991" w:rsidRPr="00090CDE">
        <w:rPr>
          <w:sz w:val="28"/>
          <w:szCs w:val="28"/>
        </w:rPr>
        <w:t xml:space="preserve"> Tāpat, vadoties pēc</w:t>
      </w:r>
      <w:r w:rsidR="004C2C3E" w:rsidRPr="00090CDE">
        <w:rPr>
          <w:sz w:val="28"/>
          <w:szCs w:val="28"/>
        </w:rPr>
        <w:t xml:space="preserve"> datiem, kas atspoguļoti 23</w:t>
      </w:r>
      <w:r w:rsidR="007F7197" w:rsidRPr="00090CDE">
        <w:rPr>
          <w:sz w:val="28"/>
          <w:szCs w:val="28"/>
        </w:rPr>
        <w:t xml:space="preserve">.diagrammā, </w:t>
      </w:r>
      <w:r w:rsidR="004C2C3E" w:rsidRPr="00090CDE">
        <w:rPr>
          <w:sz w:val="28"/>
          <w:szCs w:val="28"/>
        </w:rPr>
        <w:t>konstatēts, ka 53</w:t>
      </w:r>
      <w:r w:rsidR="0020015B" w:rsidRPr="00090CDE">
        <w:rPr>
          <w:sz w:val="28"/>
          <w:szCs w:val="28"/>
        </w:rPr>
        <w:t xml:space="preserve"> bērni jeb </w:t>
      </w:r>
      <w:r w:rsidR="004C2C3E" w:rsidRPr="00090CDE">
        <w:rPr>
          <w:sz w:val="28"/>
          <w:szCs w:val="28"/>
        </w:rPr>
        <w:t xml:space="preserve">19,85% nodoti aizbildnībā, savukārt 33 bērni jeb 12,35% nodoti aprūpē citā audžuģimenē. </w:t>
      </w:r>
    </w:p>
    <w:p w:rsidR="00741AB5" w:rsidRPr="00090CDE" w:rsidRDefault="00A33943" w:rsidP="00034A97">
      <w:pPr>
        <w:spacing w:after="0" w:line="240" w:lineRule="auto"/>
        <w:ind w:firstLine="720"/>
        <w:rPr>
          <w:sz w:val="28"/>
          <w:szCs w:val="28"/>
        </w:rPr>
      </w:pPr>
      <w:r w:rsidRPr="00090CDE">
        <w:rPr>
          <w:sz w:val="28"/>
          <w:szCs w:val="28"/>
        </w:rPr>
        <w:t xml:space="preserve">Tostarp sniegtas ziņas par </w:t>
      </w:r>
      <w:r w:rsidR="004C2C3E" w:rsidRPr="00090CDE">
        <w:rPr>
          <w:sz w:val="28"/>
          <w:szCs w:val="28"/>
        </w:rPr>
        <w:t>37</w:t>
      </w:r>
      <w:r w:rsidRPr="00090CDE">
        <w:rPr>
          <w:sz w:val="28"/>
          <w:szCs w:val="28"/>
        </w:rPr>
        <w:t xml:space="preserve"> bērni</w:t>
      </w:r>
      <w:r w:rsidR="004C2C3E" w:rsidRPr="00090CDE">
        <w:rPr>
          <w:sz w:val="28"/>
          <w:szCs w:val="28"/>
        </w:rPr>
        <w:t>em (13,85</w:t>
      </w:r>
      <w:r w:rsidRPr="00090CDE">
        <w:rPr>
          <w:sz w:val="28"/>
          <w:szCs w:val="28"/>
        </w:rPr>
        <w:t>%), kuri sasnieguši pilngadību</w:t>
      </w:r>
      <w:r w:rsidR="0020015B" w:rsidRPr="00090CDE">
        <w:rPr>
          <w:sz w:val="28"/>
          <w:szCs w:val="28"/>
        </w:rPr>
        <w:t>. Savukārt</w:t>
      </w:r>
      <w:r w:rsidR="004C2C3E" w:rsidRPr="00090CDE">
        <w:rPr>
          <w:sz w:val="28"/>
          <w:szCs w:val="28"/>
        </w:rPr>
        <w:t xml:space="preserve">  34 bērni (12,73</w:t>
      </w:r>
      <w:r w:rsidRPr="00090CDE">
        <w:rPr>
          <w:sz w:val="28"/>
          <w:szCs w:val="28"/>
        </w:rPr>
        <w:t xml:space="preserve">%), pēc bāriņtiesas pieņemtā lēmuma par bērna uzturēšanās izbeigšanu audžuģimenē, </w:t>
      </w:r>
      <w:r w:rsidR="0020015B" w:rsidRPr="00090CDE">
        <w:rPr>
          <w:sz w:val="28"/>
          <w:szCs w:val="28"/>
        </w:rPr>
        <w:t>ievietoti institūcijā, kas viena gada ietvaros vērtējams kā visai augs</w:t>
      </w:r>
      <w:r w:rsidR="004C2C3E" w:rsidRPr="00090CDE">
        <w:rPr>
          <w:sz w:val="28"/>
          <w:szCs w:val="28"/>
        </w:rPr>
        <w:t>ts rādītājs. Salīdzinājumam 2014.gadā 47</w:t>
      </w:r>
      <w:r w:rsidR="0020015B" w:rsidRPr="00090CDE">
        <w:rPr>
          <w:sz w:val="28"/>
          <w:szCs w:val="28"/>
        </w:rPr>
        <w:t xml:space="preserve"> bērni pēc </w:t>
      </w:r>
      <w:r w:rsidR="003E79A7" w:rsidRPr="00090CDE">
        <w:rPr>
          <w:sz w:val="28"/>
          <w:szCs w:val="28"/>
        </w:rPr>
        <w:t xml:space="preserve">aprūpes audžuģimenē nonākuši institūcijā. </w:t>
      </w:r>
      <w:r w:rsidR="004047EB" w:rsidRPr="00090CDE">
        <w:rPr>
          <w:sz w:val="28"/>
          <w:szCs w:val="28"/>
        </w:rPr>
        <w:t>Vienlaikus noskaidrots, ka 6 (2,24</w:t>
      </w:r>
      <w:r w:rsidR="003E79A7" w:rsidRPr="00090CDE">
        <w:rPr>
          <w:sz w:val="28"/>
          <w:szCs w:val="28"/>
        </w:rPr>
        <w:t>%) bērniem uzturēšanās audžuģimenē izbeigta, jo bērni nodoti vecāku aprūpē pēc vecāku pilngadības sasniegšan</w:t>
      </w:r>
      <w:r w:rsidR="00585AA2" w:rsidRPr="00090CDE">
        <w:rPr>
          <w:sz w:val="28"/>
          <w:szCs w:val="28"/>
        </w:rPr>
        <w:t>a</w:t>
      </w:r>
      <w:r w:rsidR="003E79A7" w:rsidRPr="00090CDE">
        <w:rPr>
          <w:sz w:val="28"/>
          <w:szCs w:val="28"/>
        </w:rPr>
        <w:t>s.</w:t>
      </w:r>
      <w:r w:rsidR="00585AA2" w:rsidRPr="00090CDE">
        <w:rPr>
          <w:sz w:val="28"/>
          <w:szCs w:val="28"/>
        </w:rPr>
        <w:t xml:space="preserve"> </w:t>
      </w:r>
      <w:r w:rsidR="004047EB" w:rsidRPr="00090CDE">
        <w:rPr>
          <w:sz w:val="28"/>
          <w:szCs w:val="28"/>
        </w:rPr>
        <w:t>Tikai 3 bērniem (1,12</w:t>
      </w:r>
      <w:r w:rsidRPr="00090CDE">
        <w:rPr>
          <w:sz w:val="28"/>
          <w:szCs w:val="28"/>
        </w:rPr>
        <w:t>%) izbeigta uzturēšanās audžuģimenē, jo vecākiem uzlabojies veselības stāvoklis</w:t>
      </w:r>
      <w:r w:rsidR="004047EB" w:rsidRPr="00090CDE">
        <w:rPr>
          <w:sz w:val="28"/>
          <w:szCs w:val="28"/>
        </w:rPr>
        <w:t>.</w:t>
      </w:r>
      <w:r w:rsidRPr="00090CDE">
        <w:rPr>
          <w:sz w:val="28"/>
          <w:szCs w:val="28"/>
        </w:rPr>
        <w:t xml:space="preserve"> </w:t>
      </w:r>
      <w:r w:rsidR="004047EB" w:rsidRPr="00090CDE">
        <w:rPr>
          <w:sz w:val="28"/>
          <w:szCs w:val="28"/>
        </w:rPr>
        <w:t>Konstatēts, ka neviens bērns 2015.gadā nav no audžuģimenes nodots vecāka aprūpē dēļ tā iemesla, ka ir atrisinājušās domstarpības bērna un vecāka starpā.</w:t>
      </w:r>
    </w:p>
    <w:p w:rsidR="00AB4AAD" w:rsidRPr="00090CDE" w:rsidRDefault="008E2FCB" w:rsidP="00344100">
      <w:pPr>
        <w:pStyle w:val="Heading1"/>
        <w:rPr>
          <w:sz w:val="32"/>
        </w:rPr>
      </w:pPr>
      <w:bookmarkStart w:id="23" w:name="_Toc455138999"/>
      <w:r w:rsidRPr="00090CDE">
        <w:rPr>
          <w:sz w:val="32"/>
        </w:rPr>
        <w:t>6</w:t>
      </w:r>
      <w:r w:rsidR="00942CCE" w:rsidRPr="00090CDE">
        <w:rPr>
          <w:sz w:val="32"/>
        </w:rPr>
        <w:t>.</w:t>
      </w:r>
      <w:r w:rsidR="00D21E17" w:rsidRPr="00090CDE">
        <w:rPr>
          <w:sz w:val="32"/>
        </w:rPr>
        <w:t>Pārskats par adopcijas lietām</w:t>
      </w:r>
      <w:bookmarkEnd w:id="23"/>
    </w:p>
    <w:p w:rsidR="00D21E17" w:rsidRPr="00090CDE" w:rsidRDefault="00D21E17" w:rsidP="00D21E17">
      <w:pPr>
        <w:spacing w:after="0" w:line="240" w:lineRule="auto"/>
        <w:rPr>
          <w:sz w:val="10"/>
          <w:szCs w:val="10"/>
        </w:rPr>
      </w:pPr>
    </w:p>
    <w:p w:rsidR="00D21E17" w:rsidRPr="00090CDE" w:rsidRDefault="004860AD" w:rsidP="00252AC2">
      <w:pPr>
        <w:ind w:firstLine="720"/>
        <w:rPr>
          <w:sz w:val="28"/>
          <w:szCs w:val="28"/>
        </w:rPr>
      </w:pPr>
      <w:r w:rsidRPr="00090CDE">
        <w:rPr>
          <w:sz w:val="28"/>
          <w:szCs w:val="28"/>
        </w:rPr>
        <w:t xml:space="preserve">Bērnu tiesību aizsardzības likuma 31.panta pirmajā un otrajā daļā noteikts, ka adopcija tiek atbalstīta, lai bērna attīstībai nodrošinātu ģimenisku vidi. Adopcijas tiesiskos pamatus nosaka Civillikums. Adopcijas kārtību nosaka Ministru kabinets. </w:t>
      </w:r>
      <w:r w:rsidR="00D21E17" w:rsidRPr="00090CDE">
        <w:rPr>
          <w:sz w:val="28"/>
          <w:szCs w:val="28"/>
        </w:rPr>
        <w:t xml:space="preserve">Adopcijas kārtības 2.1.apakšpunktā noteikts, ka adopcijas uzdevums ir radīt bez vecāku gādības palikušajiem bērniem apstākļus audzināšanai ģimenē, nodrošinot stabilu un harmonisku dzīves vidi. Saskaņā ar Civillikuma 173.noteikto adoptētais bērns un viņa pēcnācēji attiecībā pret adoptētāju un viņa radiniekiem iegūst laulībā dzimuša bērna tiesisko stāvokli kā personiskajās, tā mantiskajās attiecībās. </w:t>
      </w:r>
    </w:p>
    <w:p w:rsidR="00AB4AAD" w:rsidRPr="00090CDE" w:rsidRDefault="00AB4AAD" w:rsidP="00344100">
      <w:pPr>
        <w:spacing w:after="0" w:line="240" w:lineRule="auto"/>
        <w:ind w:firstLine="360"/>
        <w:rPr>
          <w:sz w:val="28"/>
          <w:szCs w:val="28"/>
        </w:rPr>
      </w:pPr>
      <w:r w:rsidRPr="00090CDE">
        <w:rPr>
          <w:sz w:val="28"/>
          <w:szCs w:val="28"/>
        </w:rPr>
        <w:t>Bāriņtiesu likuma 34.pantā noteikta bāriņtiesas kompetence lemt par:</w:t>
      </w:r>
    </w:p>
    <w:p w:rsidR="00AB4AAD" w:rsidRPr="00090CDE" w:rsidRDefault="00AB4AAD" w:rsidP="00AB4AAD">
      <w:pPr>
        <w:pStyle w:val="ListParagraph"/>
        <w:numPr>
          <w:ilvl w:val="0"/>
          <w:numId w:val="12"/>
        </w:numPr>
        <w:spacing w:after="0" w:line="240" w:lineRule="auto"/>
        <w:rPr>
          <w:sz w:val="26"/>
          <w:szCs w:val="26"/>
        </w:rPr>
      </w:pPr>
      <w:r w:rsidRPr="00090CDE">
        <w:rPr>
          <w:sz w:val="26"/>
          <w:szCs w:val="26"/>
        </w:rPr>
        <w:t>personas atzīšanu par adoptētāju;</w:t>
      </w:r>
    </w:p>
    <w:p w:rsidR="00AB4AAD" w:rsidRPr="00090CDE" w:rsidRDefault="00AB4AAD" w:rsidP="00AB4AAD">
      <w:pPr>
        <w:pStyle w:val="ListParagraph"/>
        <w:numPr>
          <w:ilvl w:val="0"/>
          <w:numId w:val="12"/>
        </w:numPr>
        <w:spacing w:after="0" w:line="240" w:lineRule="auto"/>
        <w:rPr>
          <w:sz w:val="26"/>
          <w:szCs w:val="26"/>
        </w:rPr>
      </w:pPr>
      <w:r w:rsidRPr="00090CDE">
        <w:rPr>
          <w:sz w:val="26"/>
          <w:szCs w:val="26"/>
        </w:rPr>
        <w:t>brāļu un māsu, pusbrāļu un pusmāsu šķiršanu Civillikumā noteiktajos gadījumos;</w:t>
      </w:r>
    </w:p>
    <w:p w:rsidR="00AB4AAD" w:rsidRPr="00090CDE" w:rsidRDefault="00AB4AAD" w:rsidP="00AB4AAD">
      <w:pPr>
        <w:pStyle w:val="ListParagraph"/>
        <w:numPr>
          <w:ilvl w:val="0"/>
          <w:numId w:val="12"/>
        </w:numPr>
        <w:spacing w:after="0" w:line="240" w:lineRule="auto"/>
        <w:rPr>
          <w:sz w:val="26"/>
          <w:szCs w:val="26"/>
        </w:rPr>
      </w:pPr>
      <w:r w:rsidRPr="00090CDE">
        <w:rPr>
          <w:sz w:val="26"/>
          <w:szCs w:val="26"/>
        </w:rPr>
        <w:t>to, vai Latvijā iespējams nodrošināt bērna audzināšanu ģimenē vai pienācīgu aprūpi;</w:t>
      </w:r>
    </w:p>
    <w:p w:rsidR="00AB4AAD" w:rsidRPr="00090CDE" w:rsidRDefault="00AB4AAD" w:rsidP="00AB4AAD">
      <w:pPr>
        <w:pStyle w:val="ListParagraph"/>
        <w:numPr>
          <w:ilvl w:val="0"/>
          <w:numId w:val="12"/>
        </w:numPr>
        <w:spacing w:after="0" w:line="240" w:lineRule="auto"/>
        <w:rPr>
          <w:sz w:val="26"/>
          <w:szCs w:val="26"/>
        </w:rPr>
      </w:pPr>
      <w:r w:rsidRPr="00090CDE">
        <w:rPr>
          <w:sz w:val="26"/>
          <w:szCs w:val="26"/>
        </w:rPr>
        <w:t>bērna nodošanu adoptētāja aprūpē un uzraudzībā līdz adopcijas apstiprināšanai;</w:t>
      </w:r>
    </w:p>
    <w:p w:rsidR="00AB4AAD" w:rsidRPr="00090CDE" w:rsidRDefault="00AB4AAD" w:rsidP="00AB4AAD">
      <w:pPr>
        <w:pStyle w:val="ListParagraph"/>
        <w:numPr>
          <w:ilvl w:val="0"/>
          <w:numId w:val="12"/>
        </w:numPr>
        <w:spacing w:after="0" w:line="240" w:lineRule="auto"/>
        <w:rPr>
          <w:sz w:val="26"/>
          <w:szCs w:val="26"/>
        </w:rPr>
      </w:pPr>
      <w:r w:rsidRPr="00090CDE">
        <w:rPr>
          <w:sz w:val="26"/>
          <w:szCs w:val="26"/>
        </w:rPr>
        <w:t>pirmsadopcijas aprūpes izbeigšanu bērnam;</w:t>
      </w:r>
    </w:p>
    <w:p w:rsidR="00AB4AAD" w:rsidRPr="00090CDE" w:rsidRDefault="00AB4AAD" w:rsidP="00AB4AAD">
      <w:pPr>
        <w:pStyle w:val="ListParagraph"/>
        <w:numPr>
          <w:ilvl w:val="0"/>
          <w:numId w:val="12"/>
        </w:numPr>
        <w:spacing w:after="0" w:line="240" w:lineRule="auto"/>
        <w:rPr>
          <w:sz w:val="26"/>
          <w:szCs w:val="26"/>
        </w:rPr>
      </w:pPr>
      <w:r w:rsidRPr="00090CDE">
        <w:rPr>
          <w:sz w:val="26"/>
          <w:szCs w:val="26"/>
        </w:rPr>
        <w:t>adopcijas atbilstību bērna interesēm.</w:t>
      </w:r>
    </w:p>
    <w:p w:rsidR="00CB033C" w:rsidRPr="00090CDE" w:rsidRDefault="00CB033C" w:rsidP="00CB033C">
      <w:pPr>
        <w:spacing w:after="0" w:line="240" w:lineRule="auto"/>
        <w:rPr>
          <w:sz w:val="16"/>
          <w:szCs w:val="16"/>
        </w:rPr>
      </w:pPr>
    </w:p>
    <w:p w:rsidR="0097485D" w:rsidRPr="00090CDE" w:rsidRDefault="00CB033C" w:rsidP="00B20380">
      <w:pPr>
        <w:spacing w:after="0" w:line="240" w:lineRule="auto"/>
        <w:ind w:firstLine="360"/>
        <w:rPr>
          <w:sz w:val="28"/>
          <w:szCs w:val="28"/>
        </w:rPr>
      </w:pPr>
      <w:r w:rsidRPr="00090CDE">
        <w:rPr>
          <w:sz w:val="28"/>
          <w:szCs w:val="28"/>
        </w:rPr>
        <w:t>Inspekcija vērš uzmanību, ka apkopotā statistiskā informācija adopcijas lietu ietvaros nesniedz datus par adoptētajiem bērniem, bet gan par bāriņtiesu pieņemtajiem lēmumiem, kā arī personu un bērnu skaitu, attiecībā uz kuriem pieņemt</w:t>
      </w:r>
      <w:r w:rsidR="00E227AA" w:rsidRPr="00090CDE">
        <w:rPr>
          <w:sz w:val="28"/>
          <w:szCs w:val="28"/>
        </w:rPr>
        <w:t>s attiecīgs bāriņtiesas lēmums a</w:t>
      </w:r>
      <w:r w:rsidRPr="00090CDE">
        <w:rPr>
          <w:sz w:val="28"/>
          <w:szCs w:val="28"/>
        </w:rPr>
        <w:t xml:space="preserve">dopcijas kārtības </w:t>
      </w:r>
      <w:r w:rsidR="0097485D" w:rsidRPr="00090CDE">
        <w:rPr>
          <w:sz w:val="28"/>
          <w:szCs w:val="28"/>
        </w:rPr>
        <w:t>ietvaros.</w:t>
      </w:r>
    </w:p>
    <w:p w:rsidR="0092534E" w:rsidRPr="00090CDE" w:rsidRDefault="0092534E" w:rsidP="00B20380">
      <w:pPr>
        <w:spacing w:after="0" w:line="240" w:lineRule="auto"/>
        <w:ind w:firstLine="360"/>
        <w:rPr>
          <w:sz w:val="28"/>
          <w:szCs w:val="28"/>
        </w:rPr>
      </w:pPr>
    </w:p>
    <w:p w:rsidR="00E2599C" w:rsidRPr="00090CDE" w:rsidRDefault="008E2FCB" w:rsidP="00942CCE">
      <w:pPr>
        <w:pStyle w:val="Heading2"/>
      </w:pPr>
      <w:bookmarkStart w:id="24" w:name="_Toc455139000"/>
      <w:r w:rsidRPr="00090CDE">
        <w:t>6</w:t>
      </w:r>
      <w:r w:rsidR="00942CCE" w:rsidRPr="00090CDE">
        <w:t>.1.Personu skaits, kas pārskata gadā ar bāriņtiesas lēmumu atzītas par adoptētājiem</w:t>
      </w:r>
      <w:bookmarkEnd w:id="24"/>
    </w:p>
    <w:p w:rsidR="003D07C0" w:rsidRPr="00090CDE" w:rsidRDefault="003D07C0" w:rsidP="003D07C0">
      <w:pPr>
        <w:spacing w:after="0" w:line="240" w:lineRule="auto"/>
        <w:rPr>
          <w:rFonts w:eastAsiaTheme="majorEastAsia" w:cstheme="majorBidi"/>
          <w:sz w:val="16"/>
          <w:szCs w:val="16"/>
        </w:rPr>
      </w:pPr>
    </w:p>
    <w:p w:rsidR="003D07C0" w:rsidRPr="00090CDE" w:rsidRDefault="007E68B1" w:rsidP="00E02376">
      <w:pPr>
        <w:tabs>
          <w:tab w:val="left" w:pos="426"/>
        </w:tabs>
        <w:spacing w:after="0" w:line="240" w:lineRule="auto"/>
        <w:ind w:firstLine="425"/>
        <w:rPr>
          <w:rFonts w:eastAsiaTheme="majorEastAsia" w:cstheme="majorBidi"/>
          <w:sz w:val="28"/>
          <w:szCs w:val="26"/>
        </w:rPr>
      </w:pPr>
      <w:r w:rsidRPr="00090CDE">
        <w:rPr>
          <w:rFonts w:eastAsiaTheme="majorEastAsia" w:cstheme="majorBidi"/>
          <w:sz w:val="28"/>
          <w:szCs w:val="26"/>
        </w:rPr>
        <w:t>S</w:t>
      </w:r>
      <w:r w:rsidR="00E227AA" w:rsidRPr="00090CDE">
        <w:rPr>
          <w:rFonts w:eastAsiaTheme="majorEastAsia" w:cstheme="majorBidi"/>
          <w:sz w:val="28"/>
          <w:szCs w:val="26"/>
        </w:rPr>
        <w:t>askaņā ar a</w:t>
      </w:r>
      <w:r w:rsidR="0092534E" w:rsidRPr="00090CDE">
        <w:rPr>
          <w:rFonts w:eastAsiaTheme="majorEastAsia" w:cstheme="majorBidi"/>
          <w:sz w:val="28"/>
          <w:szCs w:val="26"/>
        </w:rPr>
        <w:t>do</w:t>
      </w:r>
      <w:r w:rsidR="003D07C0" w:rsidRPr="00090CDE">
        <w:rPr>
          <w:rFonts w:eastAsiaTheme="majorEastAsia" w:cstheme="majorBidi"/>
          <w:sz w:val="28"/>
          <w:szCs w:val="26"/>
        </w:rPr>
        <w:t xml:space="preserve">pcijas kārtības prasībām, </w:t>
      </w:r>
      <w:r w:rsidRPr="00090CDE">
        <w:rPr>
          <w:rFonts w:eastAsiaTheme="majorEastAsia" w:cstheme="majorBidi"/>
          <w:sz w:val="28"/>
          <w:szCs w:val="26"/>
        </w:rPr>
        <w:t>lai kļūtu par adoptētāju</w:t>
      </w:r>
      <w:r w:rsidR="006F76E5" w:rsidRPr="00090CDE">
        <w:rPr>
          <w:rFonts w:eastAsiaTheme="majorEastAsia" w:cstheme="majorBidi"/>
          <w:sz w:val="28"/>
          <w:szCs w:val="26"/>
        </w:rPr>
        <w:t>,</w:t>
      </w:r>
      <w:r w:rsidRPr="00090CDE">
        <w:rPr>
          <w:rFonts w:eastAsiaTheme="majorEastAsia" w:cstheme="majorBidi"/>
          <w:sz w:val="28"/>
          <w:szCs w:val="26"/>
        </w:rPr>
        <w:t xml:space="preserve"> </w:t>
      </w:r>
      <w:r w:rsidR="003D07C0" w:rsidRPr="00090CDE">
        <w:rPr>
          <w:rFonts w:eastAsiaTheme="majorEastAsia" w:cstheme="majorBidi"/>
          <w:sz w:val="28"/>
          <w:szCs w:val="26"/>
        </w:rPr>
        <w:t>savas deklarētās dzīvesvietas bāriņtiesā jāiesniedz adopcijas pieteikums</w:t>
      </w:r>
      <w:r w:rsidR="006F76E5" w:rsidRPr="00090CDE">
        <w:rPr>
          <w:rFonts w:eastAsiaTheme="majorEastAsia" w:cstheme="majorBidi"/>
          <w:sz w:val="28"/>
          <w:szCs w:val="26"/>
        </w:rPr>
        <w:t xml:space="preserve"> (norādīti adopcijas motīvi, vēlamais adoptējamo skaits, dzimums un vecums, kā arī adoptētāja reliģiskā pārliecība, ja tāda ir)</w:t>
      </w:r>
      <w:r w:rsidR="003D07C0" w:rsidRPr="00090CDE">
        <w:rPr>
          <w:rFonts w:eastAsiaTheme="majorEastAsia" w:cstheme="majorBidi"/>
          <w:sz w:val="28"/>
          <w:szCs w:val="26"/>
        </w:rPr>
        <w:t>, kā arī</w:t>
      </w:r>
      <w:r w:rsidR="006F76E5" w:rsidRPr="00090CDE">
        <w:rPr>
          <w:rFonts w:eastAsiaTheme="majorEastAsia" w:cstheme="majorBidi"/>
          <w:sz w:val="28"/>
          <w:szCs w:val="26"/>
        </w:rPr>
        <w:t xml:space="preserve"> izziņu par nodrošinājumu ar dzīvojamo platību, dzīves aprakstu, izziņu</w:t>
      </w:r>
      <w:r w:rsidR="003D07C0" w:rsidRPr="00090CDE">
        <w:rPr>
          <w:rFonts w:eastAsiaTheme="majorEastAsia" w:cstheme="majorBidi"/>
          <w:sz w:val="28"/>
          <w:szCs w:val="26"/>
        </w:rPr>
        <w:t xml:space="preserve"> par personas veselības stāvokli</w:t>
      </w:r>
      <w:r w:rsidR="006F76E5" w:rsidRPr="00090CDE">
        <w:rPr>
          <w:rFonts w:eastAsiaTheme="majorEastAsia" w:cstheme="majorBidi"/>
          <w:sz w:val="28"/>
          <w:szCs w:val="26"/>
        </w:rPr>
        <w:t xml:space="preserve"> u.c. adopcijas kārtībā paredzētos dokumentus</w:t>
      </w:r>
      <w:r w:rsidR="003D07C0" w:rsidRPr="00090CDE">
        <w:rPr>
          <w:rFonts w:eastAsiaTheme="majorEastAsia" w:cstheme="majorBidi"/>
          <w:sz w:val="28"/>
          <w:szCs w:val="26"/>
        </w:rPr>
        <w:t xml:space="preserve">. </w:t>
      </w:r>
      <w:r w:rsidR="006F76E5" w:rsidRPr="00090CDE">
        <w:rPr>
          <w:rFonts w:eastAsiaTheme="majorEastAsia" w:cstheme="majorBidi"/>
          <w:sz w:val="28"/>
          <w:szCs w:val="26"/>
        </w:rPr>
        <w:t>Civillikuma 163.pantā</w:t>
      </w:r>
      <w:r w:rsidR="003D07C0" w:rsidRPr="00090CDE">
        <w:rPr>
          <w:rFonts w:eastAsiaTheme="majorEastAsia" w:cstheme="majorBidi"/>
          <w:sz w:val="28"/>
          <w:szCs w:val="26"/>
        </w:rPr>
        <w:t xml:space="preserve"> paredzēti vairāki nosacījumi, kas jāievēro, lai persona varētu kļūt par adoptētāju, piemēram, par adoptētāju nevar būt persona, kurai ar tiesas spriedumu atņemtas aizgādības tiesības</w:t>
      </w:r>
      <w:r w:rsidR="006F76E5" w:rsidRPr="00090CDE">
        <w:rPr>
          <w:rFonts w:eastAsiaTheme="majorEastAsia" w:cstheme="majorBidi"/>
          <w:sz w:val="28"/>
          <w:szCs w:val="26"/>
        </w:rPr>
        <w:t>, kura sodīta par tīšiem noziedzīgiem nodarījumiem, kas saistīti ar vardarbību vai vardarbības piedraudējumu, - neatkarīgi no sodāmības dzēšanas vai noņemšanas.</w:t>
      </w:r>
      <w:r w:rsidR="003D07C0" w:rsidRPr="00090CDE">
        <w:rPr>
          <w:rFonts w:eastAsiaTheme="majorEastAsia" w:cstheme="majorBidi"/>
          <w:sz w:val="28"/>
          <w:szCs w:val="26"/>
        </w:rPr>
        <w:t xml:space="preserve"> u.c.</w:t>
      </w:r>
    </w:p>
    <w:p w:rsidR="00561B09" w:rsidRPr="00090CDE" w:rsidRDefault="003D07C0" w:rsidP="00E02376">
      <w:pPr>
        <w:tabs>
          <w:tab w:val="left" w:pos="426"/>
        </w:tabs>
        <w:spacing w:after="0" w:line="240" w:lineRule="auto"/>
        <w:ind w:firstLine="425"/>
        <w:rPr>
          <w:sz w:val="28"/>
          <w:szCs w:val="28"/>
        </w:rPr>
      </w:pPr>
      <w:r w:rsidRPr="00090CDE">
        <w:rPr>
          <w:rFonts w:eastAsiaTheme="majorEastAsia" w:cstheme="majorBidi"/>
          <w:sz w:val="28"/>
          <w:szCs w:val="26"/>
        </w:rPr>
        <w:t xml:space="preserve">Pēc personas iesniegto dokumentu izvērtēšanas, bāriņtiesa, lai </w:t>
      </w:r>
      <w:r w:rsidR="00DB30C1" w:rsidRPr="00090CDE">
        <w:rPr>
          <w:sz w:val="28"/>
          <w:szCs w:val="28"/>
        </w:rPr>
        <w:t xml:space="preserve">konstatētu </w:t>
      </w:r>
      <w:r w:rsidRPr="00090CDE">
        <w:rPr>
          <w:sz w:val="28"/>
          <w:szCs w:val="28"/>
        </w:rPr>
        <w:t xml:space="preserve">personas </w:t>
      </w:r>
      <w:r w:rsidR="00DB30C1" w:rsidRPr="00090CDE">
        <w:rPr>
          <w:sz w:val="28"/>
          <w:szCs w:val="28"/>
        </w:rPr>
        <w:t>pi</w:t>
      </w:r>
      <w:r w:rsidRPr="00090CDE">
        <w:rPr>
          <w:sz w:val="28"/>
          <w:szCs w:val="28"/>
        </w:rPr>
        <w:t xml:space="preserve">emērotību adopcijai, </w:t>
      </w:r>
      <w:r w:rsidR="00DB30C1" w:rsidRPr="00090CDE">
        <w:rPr>
          <w:sz w:val="28"/>
          <w:szCs w:val="28"/>
        </w:rPr>
        <w:t>atbils</w:t>
      </w:r>
      <w:r w:rsidR="00E227AA" w:rsidRPr="00090CDE">
        <w:rPr>
          <w:sz w:val="28"/>
          <w:szCs w:val="28"/>
        </w:rPr>
        <w:t xml:space="preserve">toši </w:t>
      </w:r>
      <w:r w:rsidR="00561B09" w:rsidRPr="00090CDE">
        <w:rPr>
          <w:sz w:val="28"/>
          <w:szCs w:val="28"/>
        </w:rPr>
        <w:t xml:space="preserve">normatīvajos aktos paredzētajai </w:t>
      </w:r>
      <w:r w:rsidR="00E227AA" w:rsidRPr="00090CDE">
        <w:rPr>
          <w:sz w:val="28"/>
          <w:szCs w:val="28"/>
        </w:rPr>
        <w:t>a</w:t>
      </w:r>
      <w:r w:rsidR="00DB30C1" w:rsidRPr="00090CDE">
        <w:rPr>
          <w:sz w:val="28"/>
          <w:szCs w:val="28"/>
        </w:rPr>
        <w:t xml:space="preserve">dopcijas kārtībai </w:t>
      </w:r>
      <w:r w:rsidR="00561B09" w:rsidRPr="00090CDE">
        <w:rPr>
          <w:sz w:val="28"/>
          <w:szCs w:val="28"/>
        </w:rPr>
        <w:t xml:space="preserve">ne ilgāk kā </w:t>
      </w:r>
      <w:r w:rsidR="00DB30C1" w:rsidRPr="00090CDE">
        <w:rPr>
          <w:sz w:val="28"/>
          <w:szCs w:val="28"/>
        </w:rPr>
        <w:t xml:space="preserve">sešus mēnešus </w:t>
      </w:r>
      <w:r w:rsidRPr="00090CDE">
        <w:rPr>
          <w:sz w:val="28"/>
          <w:szCs w:val="28"/>
        </w:rPr>
        <w:t>veic adoptētāja ģimenes izpēti</w:t>
      </w:r>
      <w:r w:rsidR="00E02376" w:rsidRPr="00090CDE">
        <w:rPr>
          <w:sz w:val="28"/>
          <w:szCs w:val="28"/>
        </w:rPr>
        <w:t>, tajā skaitā</w:t>
      </w:r>
      <w:r w:rsidR="00561B09" w:rsidRPr="00090CDE">
        <w:rPr>
          <w:sz w:val="28"/>
          <w:szCs w:val="28"/>
        </w:rPr>
        <w:t>:</w:t>
      </w:r>
      <w:r w:rsidR="00E02376" w:rsidRPr="00090CDE">
        <w:rPr>
          <w:sz w:val="28"/>
          <w:szCs w:val="28"/>
        </w:rPr>
        <w:t xml:space="preserve"> </w:t>
      </w:r>
    </w:p>
    <w:p w:rsidR="00561B09" w:rsidRPr="00090CDE" w:rsidRDefault="00561B09" w:rsidP="00561B09">
      <w:pPr>
        <w:pStyle w:val="ListParagraph"/>
        <w:numPr>
          <w:ilvl w:val="0"/>
          <w:numId w:val="18"/>
        </w:numPr>
        <w:tabs>
          <w:tab w:val="left" w:pos="426"/>
        </w:tabs>
        <w:spacing w:after="0" w:line="240" w:lineRule="auto"/>
        <w:rPr>
          <w:szCs w:val="24"/>
        </w:rPr>
      </w:pPr>
      <w:r w:rsidRPr="00090CDE">
        <w:rPr>
          <w:szCs w:val="24"/>
        </w:rPr>
        <w:t>izvērtē adopcijas motivāciju, ģimenes locekļu savstarpējās attiecības un spējas izaudzināt bērnu;</w:t>
      </w:r>
    </w:p>
    <w:p w:rsidR="00561B09" w:rsidRPr="00090CDE" w:rsidRDefault="00561B09" w:rsidP="00561B09">
      <w:pPr>
        <w:pStyle w:val="ListParagraph"/>
        <w:numPr>
          <w:ilvl w:val="0"/>
          <w:numId w:val="18"/>
        </w:numPr>
        <w:tabs>
          <w:tab w:val="left" w:pos="426"/>
        </w:tabs>
        <w:spacing w:after="0" w:line="240" w:lineRule="auto"/>
        <w:rPr>
          <w:szCs w:val="24"/>
        </w:rPr>
      </w:pPr>
      <w:r w:rsidRPr="00090CDE">
        <w:rPr>
          <w:szCs w:val="24"/>
        </w:rPr>
        <w:t>noskaidro adoptētāja ģimenes dzīves apstākļus un izvērtē adoptētāja materiālo stāvokli;</w:t>
      </w:r>
    </w:p>
    <w:p w:rsidR="00561B09" w:rsidRPr="00090CDE" w:rsidRDefault="00561B09" w:rsidP="00561B09">
      <w:pPr>
        <w:pStyle w:val="ListParagraph"/>
        <w:numPr>
          <w:ilvl w:val="0"/>
          <w:numId w:val="18"/>
        </w:numPr>
        <w:tabs>
          <w:tab w:val="left" w:pos="426"/>
        </w:tabs>
        <w:spacing w:after="0" w:line="240" w:lineRule="auto"/>
        <w:rPr>
          <w:szCs w:val="24"/>
        </w:rPr>
      </w:pPr>
      <w:r w:rsidRPr="00090CDE">
        <w:rPr>
          <w:szCs w:val="24"/>
        </w:rPr>
        <w:t>pieprasa informāciju par Sodu reģistrā iekļautajām ziņām attiecībā uz adoptētāju;</w:t>
      </w:r>
    </w:p>
    <w:p w:rsidR="00B04165" w:rsidRPr="00090CDE" w:rsidRDefault="00E02376" w:rsidP="00B04165">
      <w:pPr>
        <w:pStyle w:val="ListParagraph"/>
        <w:numPr>
          <w:ilvl w:val="0"/>
          <w:numId w:val="18"/>
        </w:numPr>
        <w:tabs>
          <w:tab w:val="left" w:pos="426"/>
        </w:tabs>
        <w:spacing w:after="0" w:line="240" w:lineRule="auto"/>
        <w:rPr>
          <w:szCs w:val="24"/>
        </w:rPr>
      </w:pPr>
      <w:r w:rsidRPr="00090CDE">
        <w:rPr>
          <w:szCs w:val="24"/>
        </w:rPr>
        <w:t xml:space="preserve">nosūta personu pie psihologa saņemt atzinumu par personas piemērotību adopcijai. </w:t>
      </w:r>
    </w:p>
    <w:p w:rsidR="00E02376" w:rsidRPr="00090CDE" w:rsidRDefault="00E02376" w:rsidP="00B04165">
      <w:pPr>
        <w:tabs>
          <w:tab w:val="left" w:pos="426"/>
        </w:tabs>
        <w:spacing w:after="0" w:line="240" w:lineRule="auto"/>
        <w:rPr>
          <w:sz w:val="28"/>
          <w:szCs w:val="28"/>
        </w:rPr>
      </w:pPr>
      <w:r w:rsidRPr="00090CDE">
        <w:rPr>
          <w:sz w:val="28"/>
          <w:szCs w:val="28"/>
        </w:rPr>
        <w:t>Pēc ģimenes izpētes veikšanas bāriņtiesa lemj par p</w:t>
      </w:r>
      <w:r w:rsidR="00B04165" w:rsidRPr="00090CDE">
        <w:rPr>
          <w:sz w:val="28"/>
          <w:szCs w:val="28"/>
        </w:rPr>
        <w:t>ersonas atzīšanu par adoptētāju.</w:t>
      </w:r>
    </w:p>
    <w:p w:rsidR="00874A74" w:rsidRPr="00090CDE" w:rsidRDefault="00874A74" w:rsidP="00034A97">
      <w:pPr>
        <w:rPr>
          <w:b/>
          <w:sz w:val="26"/>
          <w:szCs w:val="26"/>
        </w:rPr>
      </w:pPr>
    </w:p>
    <w:p w:rsidR="006F2FCE" w:rsidRPr="00090CDE" w:rsidRDefault="002C6358" w:rsidP="00034A97">
      <w:pPr>
        <w:ind w:firstLine="720"/>
        <w:jc w:val="right"/>
        <w:rPr>
          <w:b/>
          <w:sz w:val="26"/>
          <w:szCs w:val="26"/>
        </w:rPr>
      </w:pPr>
      <w:r w:rsidRPr="00090CDE">
        <w:rPr>
          <w:b/>
          <w:sz w:val="26"/>
          <w:szCs w:val="26"/>
        </w:rPr>
        <w:t>24</w:t>
      </w:r>
      <w:r w:rsidR="00034A97" w:rsidRPr="00090CDE">
        <w:rPr>
          <w:b/>
          <w:sz w:val="26"/>
          <w:szCs w:val="26"/>
        </w:rPr>
        <w:t>.diagramma</w:t>
      </w:r>
    </w:p>
    <w:p w:rsidR="006F2FCE" w:rsidRPr="00090CDE" w:rsidRDefault="006F2FCE" w:rsidP="00034A97">
      <w:pPr>
        <w:spacing w:after="0"/>
        <w:ind w:firstLine="720"/>
        <w:jc w:val="center"/>
        <w:rPr>
          <w:sz w:val="28"/>
          <w:szCs w:val="28"/>
        </w:rPr>
      </w:pPr>
      <w:r w:rsidRPr="00090CDE">
        <w:rPr>
          <w:noProof/>
          <w:lang w:val="en-GB" w:eastAsia="en-GB"/>
        </w:rPr>
        <w:drawing>
          <wp:inline distT="0" distB="0" distL="0" distR="0" wp14:anchorId="1591E3E4" wp14:editId="18E05B73">
            <wp:extent cx="4572000" cy="2743200"/>
            <wp:effectExtent l="0" t="0" r="0" b="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6F2FCE" w:rsidRPr="00090CDE" w:rsidRDefault="006F2FCE" w:rsidP="002E0693">
      <w:pPr>
        <w:spacing w:after="0"/>
        <w:ind w:firstLine="720"/>
        <w:rPr>
          <w:sz w:val="28"/>
          <w:szCs w:val="28"/>
        </w:rPr>
      </w:pPr>
    </w:p>
    <w:p w:rsidR="00FD122C" w:rsidRPr="00090CDE" w:rsidRDefault="00E02376" w:rsidP="009D157F">
      <w:pPr>
        <w:spacing w:after="0"/>
        <w:ind w:firstLine="720"/>
        <w:rPr>
          <w:sz w:val="28"/>
          <w:szCs w:val="28"/>
        </w:rPr>
      </w:pPr>
      <w:r w:rsidRPr="00090CDE">
        <w:rPr>
          <w:sz w:val="28"/>
          <w:szCs w:val="28"/>
        </w:rPr>
        <w:t xml:space="preserve">Apkopojot pārskatu veidlapās fiksēto informāciju, noskaidrots, ka </w:t>
      </w:r>
      <w:r w:rsidR="001A24F1" w:rsidRPr="00090CDE">
        <w:rPr>
          <w:sz w:val="28"/>
          <w:szCs w:val="28"/>
        </w:rPr>
        <w:t xml:space="preserve">2012.gadā bāriņtiesas pieņēmušas labvēlīgu lēmumu 325 personām, kas atzītas par adoptētājiem. </w:t>
      </w:r>
      <w:r w:rsidR="00151CBC" w:rsidRPr="00090CDE">
        <w:rPr>
          <w:sz w:val="28"/>
          <w:szCs w:val="28"/>
        </w:rPr>
        <w:t xml:space="preserve">2013.gadā minētā satura lēmums pieņemts par 437 personām, kas ir par 112 personām vairāk nekā 2012.gadā. </w:t>
      </w:r>
      <w:r w:rsidR="00EB77DA" w:rsidRPr="00090CDE">
        <w:rPr>
          <w:sz w:val="28"/>
          <w:szCs w:val="28"/>
        </w:rPr>
        <w:t>Konstatēts, ka</w:t>
      </w:r>
      <w:r w:rsidR="00151CBC" w:rsidRPr="00090CDE">
        <w:rPr>
          <w:sz w:val="28"/>
          <w:szCs w:val="28"/>
        </w:rPr>
        <w:t xml:space="preserve"> 2014.gadā 419 personas (par 18 </w:t>
      </w:r>
      <w:r w:rsidR="00151CBC" w:rsidRPr="00090CDE">
        <w:rPr>
          <w:sz w:val="28"/>
          <w:szCs w:val="28"/>
        </w:rPr>
        <w:lastRenderedPageBreak/>
        <w:t xml:space="preserve">personām mazāk nekā iepriekšējā gadā) ar </w:t>
      </w:r>
      <w:r w:rsidR="000A4F20" w:rsidRPr="00090CDE">
        <w:rPr>
          <w:sz w:val="28"/>
          <w:szCs w:val="28"/>
        </w:rPr>
        <w:t>bāriņtiesas lēmumu atzīt</w:t>
      </w:r>
      <w:r w:rsidR="009D157F" w:rsidRPr="00090CDE">
        <w:rPr>
          <w:sz w:val="28"/>
          <w:szCs w:val="28"/>
        </w:rPr>
        <w:t>as par adoptētājiem. Savukārt 2015.gadā pieaudzis to personu skaits, kuras konstatētas par piemērotām adopcijai un atzītas par adoptētājiem, proti, attiecīgs lēmums pieņemts par 514 parsenām, proti, par 95 personām</w:t>
      </w:r>
      <w:r w:rsidR="0027779E" w:rsidRPr="00090CDE">
        <w:rPr>
          <w:sz w:val="28"/>
          <w:szCs w:val="28"/>
        </w:rPr>
        <w:t xml:space="preserve"> vairāk nekā 2014.gadā. No kopē</w:t>
      </w:r>
      <w:r w:rsidR="009D157F" w:rsidRPr="00090CDE">
        <w:rPr>
          <w:sz w:val="28"/>
          <w:szCs w:val="28"/>
        </w:rPr>
        <w:t xml:space="preserve">jā personu skaita, kuras atzītas par adoptētājiem 2015.gadā, 59 aizbildņi vēlējušies adoptēt savu aizbilstamo, 13 </w:t>
      </w:r>
      <w:r w:rsidR="000A4F20" w:rsidRPr="00090CDE">
        <w:rPr>
          <w:sz w:val="28"/>
          <w:szCs w:val="28"/>
        </w:rPr>
        <w:t>audžuģimenes</w:t>
      </w:r>
      <w:r w:rsidR="000A4F20" w:rsidRPr="00090CDE">
        <w:rPr>
          <w:b/>
          <w:sz w:val="28"/>
          <w:szCs w:val="28"/>
        </w:rPr>
        <w:t>-</w:t>
      </w:r>
      <w:r w:rsidR="009D157F" w:rsidRPr="00090CDE">
        <w:rPr>
          <w:sz w:val="28"/>
          <w:szCs w:val="28"/>
        </w:rPr>
        <w:t xml:space="preserve"> savā aprūpē esošo bērnu, 50</w:t>
      </w:r>
      <w:r w:rsidR="000A4F20" w:rsidRPr="00090CDE">
        <w:rPr>
          <w:sz w:val="28"/>
          <w:szCs w:val="28"/>
        </w:rPr>
        <w:t xml:space="preserve"> personas vēlējušās adoptēt sava laulātā bērnu, </w:t>
      </w:r>
      <w:r w:rsidR="004A67DF" w:rsidRPr="00090CDE">
        <w:rPr>
          <w:sz w:val="28"/>
          <w:szCs w:val="28"/>
        </w:rPr>
        <w:t>un lie</w:t>
      </w:r>
      <w:r w:rsidR="009D157F" w:rsidRPr="00090CDE">
        <w:rPr>
          <w:sz w:val="28"/>
          <w:szCs w:val="28"/>
        </w:rPr>
        <w:t>lākais personu skaits, proti, 392</w:t>
      </w:r>
      <w:r w:rsidR="004A67DF" w:rsidRPr="00090CDE">
        <w:rPr>
          <w:sz w:val="28"/>
          <w:szCs w:val="28"/>
        </w:rPr>
        <w:t xml:space="preserve"> personas </w:t>
      </w:r>
      <w:r w:rsidRPr="00090CDE">
        <w:rPr>
          <w:sz w:val="28"/>
          <w:szCs w:val="28"/>
        </w:rPr>
        <w:t xml:space="preserve">vispārējā adopcijas kārtībā </w:t>
      </w:r>
      <w:r w:rsidR="004A67DF" w:rsidRPr="00090CDE">
        <w:rPr>
          <w:sz w:val="28"/>
          <w:szCs w:val="28"/>
        </w:rPr>
        <w:t xml:space="preserve">vēlējušās adoptēt </w:t>
      </w:r>
      <w:r w:rsidRPr="00090CDE">
        <w:rPr>
          <w:sz w:val="28"/>
          <w:szCs w:val="28"/>
        </w:rPr>
        <w:t>ārpusģimenes aprūpē esošu adoptējamu bērnu</w:t>
      </w:r>
      <w:r w:rsidR="004A67DF" w:rsidRPr="00090CDE">
        <w:rPr>
          <w:sz w:val="28"/>
          <w:szCs w:val="28"/>
        </w:rPr>
        <w:t xml:space="preserve">. Tomēr </w:t>
      </w:r>
      <w:r w:rsidR="00B92D52" w:rsidRPr="00090CDE">
        <w:rPr>
          <w:sz w:val="28"/>
          <w:szCs w:val="28"/>
        </w:rPr>
        <w:t>minētie dati viennozīmīgi nenorāda uz to, ka visas šīs personas adoptējušas kādu bērnu</w:t>
      </w:r>
      <w:r w:rsidR="003E79A7" w:rsidRPr="00090CDE">
        <w:rPr>
          <w:sz w:val="28"/>
          <w:szCs w:val="28"/>
        </w:rPr>
        <w:t xml:space="preserve"> pār</w:t>
      </w:r>
      <w:r w:rsidR="00C32540" w:rsidRPr="00090CDE">
        <w:rPr>
          <w:sz w:val="28"/>
          <w:szCs w:val="28"/>
        </w:rPr>
        <w:t>s</w:t>
      </w:r>
      <w:r w:rsidR="003E79A7" w:rsidRPr="00090CDE">
        <w:rPr>
          <w:sz w:val="28"/>
          <w:szCs w:val="28"/>
        </w:rPr>
        <w:t>kata periodā</w:t>
      </w:r>
      <w:r w:rsidR="00B92D52" w:rsidRPr="00090CDE">
        <w:rPr>
          <w:sz w:val="28"/>
          <w:szCs w:val="28"/>
        </w:rPr>
        <w:t>, jo</w:t>
      </w:r>
      <w:r w:rsidR="006B299E" w:rsidRPr="00090CDE">
        <w:rPr>
          <w:sz w:val="28"/>
          <w:szCs w:val="28"/>
        </w:rPr>
        <w:t>,</w:t>
      </w:r>
      <w:r w:rsidR="00B92D52" w:rsidRPr="00090CDE">
        <w:rPr>
          <w:sz w:val="28"/>
          <w:szCs w:val="28"/>
        </w:rPr>
        <w:t xml:space="preserve"> </w:t>
      </w:r>
      <w:r w:rsidR="006B299E" w:rsidRPr="00090CDE">
        <w:rPr>
          <w:sz w:val="28"/>
          <w:szCs w:val="28"/>
        </w:rPr>
        <w:t>nereti adoptētāji gaida vairākus mēnešus līdz viņi saņem informāciju par adoptējamu bērnu. Turklāt pastāv varbūtība, ka netiek konstatēta bērna un adoptētāja savstarpējā piemērotība vai pastāv citi situāciju ietekmējoši apstākļi.</w:t>
      </w:r>
    </w:p>
    <w:p w:rsidR="00FD122C" w:rsidRPr="00090CDE" w:rsidRDefault="00FD122C" w:rsidP="00FD122C">
      <w:pPr>
        <w:rPr>
          <w:sz w:val="16"/>
          <w:szCs w:val="16"/>
        </w:rPr>
      </w:pPr>
    </w:p>
    <w:p w:rsidR="00654B2E" w:rsidRPr="00090CDE" w:rsidRDefault="008E2FCB" w:rsidP="0047505E">
      <w:pPr>
        <w:pStyle w:val="Heading2"/>
      </w:pPr>
      <w:bookmarkStart w:id="25" w:name="_Toc455139001"/>
      <w:r w:rsidRPr="00090CDE">
        <w:t>6</w:t>
      </w:r>
      <w:r w:rsidR="00942CCE" w:rsidRPr="00090CDE">
        <w:t>.2.</w:t>
      </w:r>
      <w:r w:rsidR="00473D58" w:rsidRPr="00090CDE">
        <w:t xml:space="preserve">Bērnu skaits, par kuriem bāriņtiesa pārskata gadā pieņēmusi lēmumus </w:t>
      </w:r>
      <w:r w:rsidR="008433DE" w:rsidRPr="00090CDE">
        <w:t>attiecībā uz adopciju</w:t>
      </w:r>
      <w:bookmarkEnd w:id="25"/>
    </w:p>
    <w:p w:rsidR="0047505E" w:rsidRPr="00090CDE" w:rsidRDefault="0047505E" w:rsidP="0047505E">
      <w:pPr>
        <w:rPr>
          <w:sz w:val="10"/>
          <w:szCs w:val="10"/>
        </w:rPr>
      </w:pPr>
    </w:p>
    <w:p w:rsidR="003B7B71" w:rsidRPr="00090CDE" w:rsidRDefault="00421143" w:rsidP="00421143">
      <w:pPr>
        <w:tabs>
          <w:tab w:val="left" w:pos="709"/>
        </w:tabs>
        <w:spacing w:after="0" w:line="240" w:lineRule="auto"/>
        <w:rPr>
          <w:sz w:val="28"/>
          <w:szCs w:val="28"/>
        </w:rPr>
      </w:pPr>
      <w:r w:rsidRPr="00090CDE">
        <w:rPr>
          <w:sz w:val="28"/>
          <w:szCs w:val="28"/>
        </w:rPr>
        <w:tab/>
      </w:r>
      <w:r w:rsidR="003B7B71" w:rsidRPr="00090CDE">
        <w:rPr>
          <w:sz w:val="28"/>
          <w:szCs w:val="28"/>
        </w:rPr>
        <w:t xml:space="preserve">Normatīvie akti paredz, ka bērna adopcija uz ārvalstīm pieļaujama tikai tad, ja Latvijā nav iespējams nodrošināt bērna aprūpi un audzināšanu ģimenē. </w:t>
      </w:r>
    </w:p>
    <w:p w:rsidR="004941B4" w:rsidRPr="00090CDE" w:rsidRDefault="003B7B71" w:rsidP="00421143">
      <w:pPr>
        <w:tabs>
          <w:tab w:val="left" w:pos="709"/>
        </w:tabs>
        <w:spacing w:after="0" w:line="240" w:lineRule="auto"/>
        <w:rPr>
          <w:sz w:val="28"/>
          <w:szCs w:val="28"/>
        </w:rPr>
      </w:pPr>
      <w:r w:rsidRPr="00090CDE">
        <w:rPr>
          <w:sz w:val="28"/>
          <w:szCs w:val="28"/>
        </w:rPr>
        <w:tab/>
      </w:r>
      <w:r w:rsidR="00654B2E" w:rsidRPr="00090CDE">
        <w:rPr>
          <w:sz w:val="28"/>
          <w:szCs w:val="28"/>
        </w:rPr>
        <w:t>Bāriņtiesu likuma 54.panta sestās daļas 8.punktā noteikts, ka bāriņtiesa, kura pieņēma lēmumu par bērna ārpusģimenes aprūpi, lemj par bērna adopciju uz ārvalstīm</w:t>
      </w:r>
      <w:r w:rsidR="00A44B96" w:rsidRPr="00090CDE">
        <w:rPr>
          <w:sz w:val="28"/>
          <w:szCs w:val="28"/>
        </w:rPr>
        <w:t>. T</w:t>
      </w:r>
      <w:r w:rsidR="00421143" w:rsidRPr="00090CDE">
        <w:rPr>
          <w:sz w:val="28"/>
          <w:szCs w:val="28"/>
        </w:rPr>
        <w:t>ie ir gadījumi, kad bāriņtiesa izvērtējusi 1) bērna iespējas atgriezties pie bioloģiskajiem vecākiem un augt savā ģimenē; 2) iespējas tikt adoptētam Latvijā; 3) iespējas nodibināt aizbildnību, un konstatējot, ka bērnam (institūcijā vai audžuģimenē ievietotam) nav iespējams augt ģimenē Latvijā (adopcija vai aizbildnība) saskaņā ar adopcijas kārtības 40.punktā paredzēto pieņēmusi lēmumu par</w:t>
      </w:r>
      <w:r w:rsidR="00C22E8D" w:rsidRPr="00090CDE">
        <w:rPr>
          <w:sz w:val="28"/>
          <w:szCs w:val="28"/>
        </w:rPr>
        <w:t xml:space="preserve"> iespējamu</w:t>
      </w:r>
      <w:r w:rsidR="00421143" w:rsidRPr="00090CDE">
        <w:rPr>
          <w:sz w:val="28"/>
          <w:szCs w:val="28"/>
        </w:rPr>
        <w:t xml:space="preserve"> bērna adopciju uz ārvalstīm. </w:t>
      </w:r>
    </w:p>
    <w:p w:rsidR="002C6358" w:rsidRPr="00090CDE" w:rsidRDefault="00816EEE" w:rsidP="00174834">
      <w:pPr>
        <w:tabs>
          <w:tab w:val="left" w:pos="709"/>
        </w:tabs>
        <w:spacing w:after="0" w:line="240" w:lineRule="auto"/>
        <w:rPr>
          <w:sz w:val="28"/>
          <w:szCs w:val="28"/>
        </w:rPr>
      </w:pPr>
      <w:r w:rsidRPr="00090CDE">
        <w:rPr>
          <w:sz w:val="28"/>
          <w:szCs w:val="28"/>
        </w:rPr>
        <w:tab/>
      </w:r>
      <w:r w:rsidR="00BD0334" w:rsidRPr="00090CDE">
        <w:rPr>
          <w:sz w:val="28"/>
          <w:szCs w:val="28"/>
        </w:rPr>
        <w:tab/>
        <w:t>Vadoties pēc ap</w:t>
      </w:r>
      <w:r w:rsidR="0034468B">
        <w:rPr>
          <w:sz w:val="28"/>
          <w:szCs w:val="28"/>
        </w:rPr>
        <w:t>kopotajiem statistikas datiem 25</w:t>
      </w:r>
      <w:r w:rsidR="00BD0334" w:rsidRPr="00090CDE">
        <w:rPr>
          <w:sz w:val="28"/>
          <w:szCs w:val="28"/>
        </w:rPr>
        <w:t xml:space="preserve">.diagrammā, redzams, ka 2015.gadā samazinājies to bērnu skaits, par kuriem pieņemts lēmums attiecībā uz ārvalstu adopciju. Proti, minētā satura lēmums kopumā pieņemts par 183 bērniem (2014.gadā- par 231 bērnu), kas ir par 48 bērniem mazāk nekā 2014.gadā. </w:t>
      </w:r>
    </w:p>
    <w:p w:rsidR="002C6358" w:rsidRPr="00090CDE" w:rsidRDefault="002C6358" w:rsidP="002C6358">
      <w:pPr>
        <w:jc w:val="right"/>
        <w:rPr>
          <w:b/>
          <w:sz w:val="26"/>
          <w:szCs w:val="26"/>
        </w:rPr>
      </w:pPr>
      <w:r w:rsidRPr="00090CDE">
        <w:rPr>
          <w:b/>
          <w:sz w:val="26"/>
          <w:szCs w:val="26"/>
        </w:rPr>
        <w:t>25.diagramma</w:t>
      </w:r>
    </w:p>
    <w:p w:rsidR="002C6358" w:rsidRPr="00090CDE" w:rsidRDefault="002C6358" w:rsidP="002C6358">
      <w:pPr>
        <w:tabs>
          <w:tab w:val="left" w:pos="709"/>
        </w:tabs>
        <w:spacing w:after="0" w:line="240" w:lineRule="auto"/>
        <w:jc w:val="center"/>
        <w:rPr>
          <w:sz w:val="28"/>
          <w:szCs w:val="28"/>
        </w:rPr>
      </w:pPr>
      <w:r w:rsidRPr="00090CDE">
        <w:rPr>
          <w:noProof/>
          <w:lang w:val="en-GB" w:eastAsia="en-GB"/>
        </w:rPr>
        <w:drawing>
          <wp:inline distT="0" distB="0" distL="0" distR="0" wp14:anchorId="72211866" wp14:editId="7AB20826">
            <wp:extent cx="5009744" cy="2207895"/>
            <wp:effectExtent l="0" t="0" r="635" b="1905"/>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6F2FCE" w:rsidRPr="00090CDE" w:rsidRDefault="002C6358" w:rsidP="00506D9B">
      <w:pPr>
        <w:tabs>
          <w:tab w:val="left" w:pos="709"/>
        </w:tabs>
        <w:spacing w:after="0" w:line="240" w:lineRule="auto"/>
        <w:rPr>
          <w:sz w:val="28"/>
          <w:szCs w:val="28"/>
        </w:rPr>
      </w:pPr>
      <w:r w:rsidRPr="00090CDE">
        <w:rPr>
          <w:sz w:val="28"/>
          <w:szCs w:val="28"/>
        </w:rPr>
        <w:lastRenderedPageBreak/>
        <w:tab/>
      </w:r>
      <w:r w:rsidR="00BD0334" w:rsidRPr="00090CDE">
        <w:rPr>
          <w:sz w:val="28"/>
          <w:szCs w:val="28"/>
        </w:rPr>
        <w:t xml:space="preserve">Vienlaikus no bāriņtiesu sniegtajiem datiem konstatēts, ka no 183 bērniem, par kuriem bāriņtiesa pieņēmusi lēmumu par adopciju uz ārvalstīm, 104 ir institūcijā ievietotie bērni un 79 - audžuģimenē esošie bērni. Bāriņtiesu praksē reti ir gadījumi, kad bāriņtiesas savas kompetences ietvaros pieņem lēmumu atcelt savu lēmu par bērna adopciju uz ārvalstīm. </w:t>
      </w:r>
      <w:r w:rsidR="000533BC" w:rsidRPr="00090CDE">
        <w:rPr>
          <w:sz w:val="28"/>
          <w:szCs w:val="28"/>
        </w:rPr>
        <w:t>2013.</w:t>
      </w:r>
      <w:r w:rsidR="00BD0334" w:rsidRPr="00090CDE">
        <w:rPr>
          <w:sz w:val="28"/>
          <w:szCs w:val="28"/>
        </w:rPr>
        <w:t xml:space="preserve">un 2014.gadā nav pieņemts neviens šāds lēmums, savukārt 2015.gadā </w:t>
      </w:r>
      <w:r w:rsidR="000533BC" w:rsidRPr="00090CDE">
        <w:rPr>
          <w:sz w:val="28"/>
          <w:szCs w:val="28"/>
        </w:rPr>
        <w:t xml:space="preserve">attiecībā uz 6 bērniem pieņemts lēmums atcelt lēmumu par bērna adopciju uz ārvalstīm. </w:t>
      </w:r>
    </w:p>
    <w:p w:rsidR="00506D9B" w:rsidRPr="00090CDE" w:rsidRDefault="000533BC" w:rsidP="00506D9B">
      <w:pPr>
        <w:tabs>
          <w:tab w:val="left" w:pos="709"/>
        </w:tabs>
        <w:spacing w:after="0" w:line="240" w:lineRule="auto"/>
        <w:rPr>
          <w:rFonts w:cs="Times New Roman"/>
          <w:sz w:val="28"/>
          <w:szCs w:val="28"/>
        </w:rPr>
      </w:pPr>
      <w:r w:rsidRPr="00090CDE">
        <w:rPr>
          <w:rFonts w:cs="Times New Roman"/>
          <w:sz w:val="28"/>
          <w:szCs w:val="28"/>
        </w:rPr>
        <w:tab/>
      </w:r>
      <w:r w:rsidR="00E227AA" w:rsidRPr="00090CDE">
        <w:rPr>
          <w:rFonts w:cs="Times New Roman"/>
          <w:sz w:val="28"/>
          <w:szCs w:val="28"/>
        </w:rPr>
        <w:t>Ārpusģimenes aprūpē esošu bērnu var adoptēt, ja pirms adopcijas apstiprināšanas viņš atradies adoptētāja aprūpē un uzraudzībā un ir konstatēta bērna un adoptētāja savstarpējā piemērotība, kā arī ir pamats uzskatīt, ka adopcijas rezultātā starp adoptētāju un adoptējamo izveidosies patiesas bērnu un vecāku attiecības. Adoptētāja aprūpē bērnu var nodot ar bāriņtiesas lēmumu uz laiku līdz sešiem mēnešiem atbilstoši adopcijas kārtībai.</w:t>
      </w:r>
    </w:p>
    <w:p w:rsidR="002C6358" w:rsidRPr="00090CDE" w:rsidRDefault="002C6358" w:rsidP="00506D9B">
      <w:pPr>
        <w:tabs>
          <w:tab w:val="left" w:pos="709"/>
        </w:tabs>
        <w:spacing w:after="0" w:line="240" w:lineRule="auto"/>
        <w:rPr>
          <w:rFonts w:cs="Times New Roman"/>
          <w:sz w:val="28"/>
          <w:szCs w:val="28"/>
        </w:rPr>
      </w:pPr>
    </w:p>
    <w:p w:rsidR="002C6358" w:rsidRPr="00090CDE" w:rsidRDefault="002C6358" w:rsidP="002C6358">
      <w:pPr>
        <w:tabs>
          <w:tab w:val="left" w:pos="855"/>
          <w:tab w:val="right" w:pos="9354"/>
        </w:tabs>
        <w:jc w:val="left"/>
        <w:rPr>
          <w:b/>
          <w:sz w:val="26"/>
          <w:szCs w:val="26"/>
        </w:rPr>
      </w:pPr>
      <w:r w:rsidRPr="00090CDE">
        <w:rPr>
          <w:b/>
          <w:sz w:val="26"/>
          <w:szCs w:val="26"/>
        </w:rPr>
        <w:t>26.diagramma</w:t>
      </w:r>
      <w:r w:rsidRPr="00090CDE">
        <w:rPr>
          <w:b/>
          <w:sz w:val="26"/>
          <w:szCs w:val="26"/>
        </w:rPr>
        <w:tab/>
        <w:t>27.diagramma</w:t>
      </w:r>
    </w:p>
    <w:p w:rsidR="002C6358" w:rsidRPr="00090CDE" w:rsidRDefault="002C6358" w:rsidP="002C6358">
      <w:pPr>
        <w:tabs>
          <w:tab w:val="left" w:pos="709"/>
        </w:tabs>
        <w:spacing w:after="0" w:line="240" w:lineRule="auto"/>
        <w:jc w:val="center"/>
        <w:rPr>
          <w:rFonts w:cs="Times New Roman"/>
          <w:sz w:val="28"/>
          <w:szCs w:val="28"/>
        </w:rPr>
      </w:pPr>
      <w:r w:rsidRPr="00090CDE">
        <w:rPr>
          <w:noProof/>
          <w:lang w:val="en-GB" w:eastAsia="en-GB"/>
        </w:rPr>
        <w:drawing>
          <wp:inline distT="0" distB="0" distL="0" distR="0" wp14:anchorId="1AEF86D4" wp14:editId="72143194">
            <wp:extent cx="2781300" cy="3000375"/>
            <wp:effectExtent l="0" t="0" r="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90CDE">
        <w:rPr>
          <w:noProof/>
          <w:lang w:val="en-GB" w:eastAsia="en-GB"/>
        </w:rPr>
        <w:drawing>
          <wp:inline distT="0" distB="0" distL="0" distR="0" wp14:anchorId="0BBEEE4F" wp14:editId="36C903C6">
            <wp:extent cx="2849880" cy="2995120"/>
            <wp:effectExtent l="0" t="0" r="7620" b="1524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2C6358" w:rsidRPr="00090CDE" w:rsidRDefault="002C6358" w:rsidP="00506D9B">
      <w:pPr>
        <w:tabs>
          <w:tab w:val="left" w:pos="709"/>
        </w:tabs>
        <w:spacing w:after="0" w:line="240" w:lineRule="auto"/>
        <w:rPr>
          <w:rFonts w:cs="Times New Roman"/>
          <w:sz w:val="28"/>
          <w:szCs w:val="28"/>
        </w:rPr>
      </w:pPr>
    </w:p>
    <w:p w:rsidR="00506D9B" w:rsidRPr="00090CDE" w:rsidRDefault="00506D9B" w:rsidP="00506D9B">
      <w:pPr>
        <w:tabs>
          <w:tab w:val="left" w:pos="709"/>
        </w:tabs>
        <w:spacing w:after="0" w:line="240" w:lineRule="auto"/>
        <w:rPr>
          <w:rFonts w:cs="Times New Roman"/>
          <w:sz w:val="28"/>
          <w:szCs w:val="28"/>
        </w:rPr>
      </w:pPr>
      <w:r w:rsidRPr="00090CDE">
        <w:rPr>
          <w:rFonts w:cs="Times New Roman"/>
          <w:sz w:val="28"/>
          <w:szCs w:val="28"/>
        </w:rPr>
        <w:tab/>
      </w:r>
      <w:r w:rsidRPr="00090CDE">
        <w:rPr>
          <w:sz w:val="28"/>
          <w:szCs w:val="28"/>
        </w:rPr>
        <w:t>Kā</w:t>
      </w:r>
      <w:r w:rsidR="002C6358" w:rsidRPr="00090CDE">
        <w:rPr>
          <w:sz w:val="28"/>
          <w:szCs w:val="28"/>
        </w:rPr>
        <w:t xml:space="preserve"> redzams 27.diagrammā</w:t>
      </w:r>
      <w:r w:rsidRPr="00090CDE">
        <w:rPr>
          <w:sz w:val="28"/>
          <w:szCs w:val="28"/>
        </w:rPr>
        <w:t xml:space="preserve"> bār</w:t>
      </w:r>
      <w:r w:rsidR="00043122" w:rsidRPr="00090CDE">
        <w:rPr>
          <w:sz w:val="28"/>
          <w:szCs w:val="28"/>
        </w:rPr>
        <w:t>iņtiesas sniegušas ziņas par 270</w:t>
      </w:r>
      <w:r w:rsidRPr="00090CDE">
        <w:rPr>
          <w:sz w:val="28"/>
          <w:szCs w:val="28"/>
        </w:rPr>
        <w:t xml:space="preserve"> bērn</w:t>
      </w:r>
      <w:r w:rsidR="00043122" w:rsidRPr="00090CDE">
        <w:rPr>
          <w:sz w:val="28"/>
          <w:szCs w:val="28"/>
        </w:rPr>
        <w:t>iem, par kuriem bāriņtiesas 2015</w:t>
      </w:r>
      <w:r w:rsidRPr="00090CDE">
        <w:rPr>
          <w:sz w:val="28"/>
          <w:szCs w:val="28"/>
        </w:rPr>
        <w:t>.gadā pieņēmušas lēmumu par bērna nodošanu adoptētāja aprūpē un uzraudzībā līdz adopcijas apstiprināšanai tiesā atbilstoši Bāriņtiesu likuma 57.panta pirmās daļas 1.punktā un otrās daļas 1.punktā noteiktajam, kā arī adopcijas kārtības 25.punkt</w:t>
      </w:r>
      <w:r w:rsidR="000533BC" w:rsidRPr="00090CDE">
        <w:rPr>
          <w:sz w:val="28"/>
          <w:szCs w:val="28"/>
        </w:rPr>
        <w:t>ā paredzētajam. Salīdzinoši 2014</w:t>
      </w:r>
      <w:r w:rsidRPr="00090CDE">
        <w:rPr>
          <w:sz w:val="28"/>
          <w:szCs w:val="28"/>
        </w:rPr>
        <w:t>.gadā minētā satura lēmum</w:t>
      </w:r>
      <w:r w:rsidR="00043122" w:rsidRPr="00090CDE">
        <w:rPr>
          <w:sz w:val="28"/>
          <w:szCs w:val="28"/>
        </w:rPr>
        <w:t>u bāriņtiesas pieņēmušas par 295 bērniem, t.i. par 25</w:t>
      </w:r>
      <w:r w:rsidRPr="00090CDE">
        <w:rPr>
          <w:sz w:val="28"/>
          <w:szCs w:val="28"/>
        </w:rPr>
        <w:t xml:space="preserve"> </w:t>
      </w:r>
      <w:r w:rsidR="00043122" w:rsidRPr="00090CDE">
        <w:rPr>
          <w:sz w:val="28"/>
          <w:szCs w:val="28"/>
        </w:rPr>
        <w:t xml:space="preserve">bērniem vairāk nekā 2015.gadā. Secināms, ka visvairāk 2015.gadā adoptētāju aprūpē nodoti bērni vecuma grupā no 4-12 gadiem (157 bērns) un vismazāk adotētāju aprūpē nodoti bērni vecuma grupā no 13-17 (35 bērns). Apkopotie sttaistikas dati dzimumu griezumā norāda, ka nedaudz vairāk adoptētāju aprūpē 2015.gadā nodoti zēni. </w:t>
      </w:r>
    </w:p>
    <w:p w:rsidR="00D33FE7" w:rsidRPr="00090CDE" w:rsidRDefault="00506D9B" w:rsidP="002C6358">
      <w:pPr>
        <w:tabs>
          <w:tab w:val="left" w:pos="709"/>
        </w:tabs>
        <w:spacing w:after="0" w:line="240" w:lineRule="auto"/>
        <w:rPr>
          <w:sz w:val="28"/>
          <w:szCs w:val="28"/>
        </w:rPr>
      </w:pPr>
      <w:r w:rsidRPr="00090CDE">
        <w:rPr>
          <w:sz w:val="28"/>
          <w:szCs w:val="28"/>
        </w:rPr>
        <w:tab/>
        <w:t>V</w:t>
      </w:r>
      <w:r w:rsidR="00043122" w:rsidRPr="00090CDE">
        <w:rPr>
          <w:sz w:val="28"/>
          <w:szCs w:val="28"/>
        </w:rPr>
        <w:t>ienlaikus noskaidrots, ka par 32 bērniem bāriņtiesas 2015</w:t>
      </w:r>
      <w:r w:rsidRPr="00090CDE">
        <w:rPr>
          <w:sz w:val="28"/>
          <w:szCs w:val="28"/>
        </w:rPr>
        <w:t xml:space="preserve">.gadā lēmušas par bērna uzturēšanās adoptētāja aprūpē izbeigšanu, kas ir par </w:t>
      </w:r>
      <w:r w:rsidR="00043122" w:rsidRPr="00090CDE">
        <w:rPr>
          <w:sz w:val="28"/>
          <w:szCs w:val="28"/>
        </w:rPr>
        <w:t>7 bērniem vairāk nekā 2014</w:t>
      </w:r>
      <w:r w:rsidRPr="00090CDE">
        <w:rPr>
          <w:sz w:val="28"/>
          <w:szCs w:val="28"/>
        </w:rPr>
        <w:t xml:space="preserve">.gadā. Tie ir gadījumi, kad adoptētāji nav vērsušies tiesā ar pieteikumu par </w:t>
      </w:r>
      <w:r w:rsidRPr="00090CDE">
        <w:rPr>
          <w:sz w:val="28"/>
          <w:szCs w:val="28"/>
        </w:rPr>
        <w:lastRenderedPageBreak/>
        <w:t xml:space="preserve">konkrēta bērna adopcijas apstiprināšanu. Piemēram, adoptētājs bērna aprūpes laikā atsakās no bērna, vai arī bāriņtiesa secina, ka starp adoptētāju un bērnu nav izveidojies kontakts un ir pamats uzskatīt, ka pēc adopcijas neizveidosies patiesas vecāka un bērna attiecības.  </w:t>
      </w:r>
      <w:r w:rsidR="00043122" w:rsidRPr="00090CDE">
        <w:rPr>
          <w:sz w:val="28"/>
          <w:szCs w:val="28"/>
        </w:rPr>
        <w:t>Secināms, ka visvairāk 2015</w:t>
      </w:r>
      <w:r w:rsidRPr="00090CDE">
        <w:rPr>
          <w:sz w:val="28"/>
          <w:szCs w:val="28"/>
        </w:rPr>
        <w:t>.gadā uzturēšanās adoptētāju aprūpē izbeigta bērniem vecuma</w:t>
      </w:r>
      <w:r w:rsidR="002C6358" w:rsidRPr="00090CDE">
        <w:rPr>
          <w:sz w:val="28"/>
          <w:szCs w:val="28"/>
        </w:rPr>
        <w:t xml:space="preserve"> grupā no 4-12 gadiem. </w:t>
      </w:r>
    </w:p>
    <w:p w:rsidR="002C6358" w:rsidRPr="00090CDE" w:rsidRDefault="002C6358" w:rsidP="002C6358">
      <w:pPr>
        <w:tabs>
          <w:tab w:val="left" w:pos="709"/>
        </w:tabs>
        <w:spacing w:after="0" w:line="240" w:lineRule="auto"/>
        <w:rPr>
          <w:sz w:val="16"/>
          <w:szCs w:val="16"/>
        </w:rPr>
      </w:pPr>
    </w:p>
    <w:p w:rsidR="00EF45ED" w:rsidRPr="00090CDE" w:rsidRDefault="00E227AA" w:rsidP="00EF45ED">
      <w:pPr>
        <w:spacing w:after="0" w:line="240" w:lineRule="auto"/>
        <w:ind w:firstLine="720"/>
        <w:rPr>
          <w:sz w:val="28"/>
          <w:szCs w:val="28"/>
        </w:rPr>
      </w:pPr>
      <w:r w:rsidRPr="00090CDE">
        <w:rPr>
          <w:sz w:val="28"/>
          <w:szCs w:val="28"/>
        </w:rPr>
        <w:t>Nepilngadīga bērna adopcija ir atļauta, ja tā ir bērna inter</w:t>
      </w:r>
      <w:r w:rsidR="0021063C" w:rsidRPr="00090CDE">
        <w:rPr>
          <w:sz w:val="28"/>
          <w:szCs w:val="28"/>
        </w:rPr>
        <w:t>e</w:t>
      </w:r>
      <w:r w:rsidRPr="00090CDE">
        <w:rPr>
          <w:sz w:val="28"/>
          <w:szCs w:val="28"/>
        </w:rPr>
        <w:t>sēs</w:t>
      </w:r>
      <w:r w:rsidR="0021063C" w:rsidRPr="00090CDE">
        <w:rPr>
          <w:sz w:val="28"/>
          <w:szCs w:val="28"/>
        </w:rPr>
        <w:t>. Atbilstoši adopcijas kārtības 32.punktā noteiktajam</w:t>
      </w:r>
      <w:r w:rsidR="0034468B">
        <w:rPr>
          <w:sz w:val="28"/>
          <w:szCs w:val="28"/>
        </w:rPr>
        <w:t>,</w:t>
      </w:r>
      <w:r w:rsidR="0021063C" w:rsidRPr="00090CDE">
        <w:rPr>
          <w:sz w:val="28"/>
          <w:szCs w:val="28"/>
        </w:rPr>
        <w:t xml:space="preserve"> bāriņtiesa aprūpes termiņa beigās (kad bērns ar bāriņtiesas lēmumu nodots adoptētāja aprūpē un bāriņtiesa aprūpes laikā veikusi ģimenes izpēti) apkopo ģimenes izpētes rezultātus, sagatavo atzinumu par to, vai adopcija adoptētāja ģimenē ir bērna interesēs, un pieņem atbilstošu lēmumu. </w:t>
      </w:r>
      <w:r w:rsidR="00393216" w:rsidRPr="00090CDE">
        <w:rPr>
          <w:sz w:val="28"/>
          <w:szCs w:val="28"/>
        </w:rPr>
        <w:t xml:space="preserve">Lai pieņemtu attiecīgu lēmumu, bāriņtiesai nepieciešams noskaidrot adoptējamā viedokli, ja viņš spēj to formulēt, kā arī </w:t>
      </w:r>
      <w:r w:rsidR="00D043F5" w:rsidRPr="00090CDE">
        <w:rPr>
          <w:sz w:val="28"/>
          <w:szCs w:val="28"/>
        </w:rPr>
        <w:t>ņem</w:t>
      </w:r>
      <w:r w:rsidR="000A0E09" w:rsidRPr="00090CDE">
        <w:rPr>
          <w:sz w:val="28"/>
          <w:szCs w:val="28"/>
        </w:rPr>
        <w:t>t</w:t>
      </w:r>
      <w:r w:rsidR="00D043F5" w:rsidRPr="00090CDE">
        <w:rPr>
          <w:sz w:val="28"/>
          <w:szCs w:val="28"/>
        </w:rPr>
        <w:t xml:space="preserve"> vērā ziņas par </w:t>
      </w:r>
      <w:r w:rsidR="000A0E09" w:rsidRPr="00090CDE">
        <w:rPr>
          <w:sz w:val="28"/>
          <w:szCs w:val="28"/>
        </w:rPr>
        <w:t xml:space="preserve">adoptētāju, tajā skaitā viņa personību, mantisko stāvokli, sadzīves apstākļiem, spēju izaudzināt bērnu, kā arī ziņas par adoptējamo, tajā skaitā viņa personību, reliģisko pārliecību, ja tāda ir u.c. </w:t>
      </w:r>
    </w:p>
    <w:p w:rsidR="00EF45ED" w:rsidRPr="00090CDE" w:rsidRDefault="00EF45ED" w:rsidP="00EF45ED">
      <w:pPr>
        <w:jc w:val="right"/>
        <w:rPr>
          <w:b/>
          <w:sz w:val="26"/>
          <w:szCs w:val="26"/>
        </w:rPr>
      </w:pPr>
    </w:p>
    <w:p w:rsidR="00D33FE7" w:rsidRPr="00090CDE" w:rsidRDefault="002C6358" w:rsidP="00EF45ED">
      <w:pPr>
        <w:jc w:val="right"/>
        <w:rPr>
          <w:b/>
          <w:sz w:val="26"/>
          <w:szCs w:val="26"/>
        </w:rPr>
      </w:pPr>
      <w:r w:rsidRPr="00090CDE">
        <w:rPr>
          <w:b/>
          <w:sz w:val="26"/>
          <w:szCs w:val="26"/>
        </w:rPr>
        <w:t>28</w:t>
      </w:r>
      <w:r w:rsidR="00EF45ED" w:rsidRPr="00090CDE">
        <w:rPr>
          <w:b/>
          <w:sz w:val="26"/>
          <w:szCs w:val="26"/>
        </w:rPr>
        <w:t>.diagramma</w:t>
      </w:r>
    </w:p>
    <w:p w:rsidR="00D33FE7" w:rsidRPr="00090CDE" w:rsidRDefault="00D33FE7" w:rsidP="00EF45ED">
      <w:pPr>
        <w:tabs>
          <w:tab w:val="left" w:pos="426"/>
        </w:tabs>
        <w:spacing w:after="0" w:line="240" w:lineRule="auto"/>
        <w:jc w:val="center"/>
        <w:rPr>
          <w:sz w:val="28"/>
          <w:szCs w:val="28"/>
        </w:rPr>
      </w:pPr>
      <w:r w:rsidRPr="00090CDE">
        <w:rPr>
          <w:noProof/>
          <w:lang w:val="en-GB" w:eastAsia="en-GB"/>
        </w:rPr>
        <w:drawing>
          <wp:inline distT="0" distB="0" distL="0" distR="0" wp14:anchorId="58A289D0" wp14:editId="6E8DC3F5">
            <wp:extent cx="4572000" cy="2843213"/>
            <wp:effectExtent l="0" t="0" r="0" b="14605"/>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D33FE7" w:rsidRPr="00090CDE" w:rsidRDefault="00D33FE7" w:rsidP="00FE57D5">
      <w:pPr>
        <w:tabs>
          <w:tab w:val="left" w:pos="426"/>
        </w:tabs>
        <w:spacing w:after="0" w:line="240" w:lineRule="auto"/>
        <w:rPr>
          <w:sz w:val="28"/>
          <w:szCs w:val="28"/>
        </w:rPr>
      </w:pPr>
    </w:p>
    <w:p w:rsidR="00EF45ED" w:rsidRPr="00090CDE" w:rsidRDefault="00FE57D5" w:rsidP="00FE57D5">
      <w:pPr>
        <w:tabs>
          <w:tab w:val="left" w:pos="426"/>
        </w:tabs>
        <w:spacing w:after="0" w:line="240" w:lineRule="auto"/>
        <w:rPr>
          <w:sz w:val="28"/>
          <w:szCs w:val="28"/>
        </w:rPr>
      </w:pPr>
      <w:r w:rsidRPr="00090CDE">
        <w:rPr>
          <w:sz w:val="28"/>
          <w:szCs w:val="28"/>
        </w:rPr>
        <w:tab/>
        <w:t>Apkopojot da</w:t>
      </w:r>
      <w:r w:rsidR="00EF45ED" w:rsidRPr="00090CDE">
        <w:rPr>
          <w:sz w:val="28"/>
          <w:szCs w:val="28"/>
        </w:rPr>
        <w:t>tus, noskaidrots, ka kopumā 2015</w:t>
      </w:r>
      <w:r w:rsidRPr="00090CDE">
        <w:rPr>
          <w:sz w:val="28"/>
          <w:szCs w:val="28"/>
        </w:rPr>
        <w:t>.gad</w:t>
      </w:r>
      <w:r w:rsidR="00EF45ED" w:rsidRPr="00090CDE">
        <w:rPr>
          <w:sz w:val="28"/>
          <w:szCs w:val="28"/>
        </w:rPr>
        <w:t>ā bāriņtiesas pieņēmušas par 337</w:t>
      </w:r>
      <w:r w:rsidR="00534C02" w:rsidRPr="00090CDE">
        <w:rPr>
          <w:sz w:val="28"/>
          <w:szCs w:val="28"/>
        </w:rPr>
        <w:t xml:space="preserve"> bērniem</w:t>
      </w:r>
      <w:r w:rsidRPr="00090CDE">
        <w:rPr>
          <w:sz w:val="28"/>
          <w:szCs w:val="28"/>
        </w:rPr>
        <w:t xml:space="preserve"> </w:t>
      </w:r>
      <w:r w:rsidR="00C22E8D" w:rsidRPr="00090CDE">
        <w:rPr>
          <w:sz w:val="28"/>
          <w:szCs w:val="28"/>
        </w:rPr>
        <w:t>lēmumu par to, ka adopcija ir bērna interesēs atbilstoši Bāriņtiesu likuma 57.panta pirmās daļas 4.punktā, otrās daļas trešajā punktā un minētā panta trešajā daļā noteiktajam, kā arī adopcijas kār</w:t>
      </w:r>
      <w:r w:rsidRPr="00090CDE">
        <w:rPr>
          <w:sz w:val="28"/>
          <w:szCs w:val="28"/>
        </w:rPr>
        <w:t>tības 32.punktā paredzētajam.</w:t>
      </w:r>
      <w:r w:rsidR="00534C02" w:rsidRPr="00090CDE">
        <w:rPr>
          <w:sz w:val="28"/>
          <w:szCs w:val="28"/>
        </w:rPr>
        <w:t xml:space="preserve"> Salīdzinoši </w:t>
      </w:r>
      <w:r w:rsidR="00EF45ED" w:rsidRPr="00090CDE">
        <w:rPr>
          <w:sz w:val="28"/>
          <w:szCs w:val="28"/>
        </w:rPr>
        <w:t xml:space="preserve">2014.gadā bāriņtiesas pieņēmušas minētā satura lēmumu par 372 bērniem, kas ir par </w:t>
      </w:r>
      <w:r w:rsidR="003255B9" w:rsidRPr="00090CDE">
        <w:rPr>
          <w:sz w:val="28"/>
          <w:szCs w:val="28"/>
        </w:rPr>
        <w:t>35 bērniem vairāk nekā 2015.gadā. Savukārt 2013.gadā bāriņtiesas attiecīgo lēmumu pieņēmušas par 331 bērnu, kas ir par 41 bērnu mazāk nekā 2014.gadā.</w:t>
      </w:r>
    </w:p>
    <w:p w:rsidR="003255B9" w:rsidRPr="00090CDE" w:rsidRDefault="003E611A" w:rsidP="003255B9">
      <w:pPr>
        <w:tabs>
          <w:tab w:val="left" w:pos="426"/>
        </w:tabs>
        <w:spacing w:after="0" w:line="240" w:lineRule="auto"/>
        <w:rPr>
          <w:sz w:val="28"/>
          <w:szCs w:val="28"/>
        </w:rPr>
      </w:pPr>
      <w:r w:rsidRPr="00090CDE">
        <w:rPr>
          <w:sz w:val="28"/>
          <w:szCs w:val="28"/>
        </w:rPr>
        <w:tab/>
      </w:r>
      <w:r w:rsidR="0034468B">
        <w:rPr>
          <w:sz w:val="28"/>
          <w:szCs w:val="28"/>
        </w:rPr>
        <w:t>28</w:t>
      </w:r>
      <w:r w:rsidR="004941B4" w:rsidRPr="00090CDE">
        <w:rPr>
          <w:sz w:val="28"/>
          <w:szCs w:val="28"/>
        </w:rPr>
        <w:t xml:space="preserve">.diagrammā redzams, ka </w:t>
      </w:r>
      <w:r w:rsidR="00DF3806" w:rsidRPr="00090CDE">
        <w:rPr>
          <w:sz w:val="28"/>
          <w:szCs w:val="28"/>
        </w:rPr>
        <w:t>no kopējā bērnu skaita</w:t>
      </w:r>
      <w:r w:rsidR="003255B9" w:rsidRPr="00090CDE">
        <w:rPr>
          <w:sz w:val="28"/>
          <w:szCs w:val="28"/>
        </w:rPr>
        <w:t xml:space="preserve"> 2015.gadā</w:t>
      </w:r>
      <w:r w:rsidR="00DF3806" w:rsidRPr="00090CDE">
        <w:rPr>
          <w:sz w:val="28"/>
          <w:szCs w:val="28"/>
        </w:rPr>
        <w:t>, par kuriem pieņemts lēmums par adopcijas atbilstību bērna interesēm,</w:t>
      </w:r>
      <w:r w:rsidR="003255B9" w:rsidRPr="00090CDE">
        <w:rPr>
          <w:sz w:val="28"/>
          <w:szCs w:val="28"/>
        </w:rPr>
        <w:t xml:space="preserve"> proti, 337</w:t>
      </w:r>
      <w:r w:rsidRPr="00090CDE">
        <w:rPr>
          <w:sz w:val="28"/>
          <w:szCs w:val="28"/>
        </w:rPr>
        <w:t xml:space="preserve"> bērniem</w:t>
      </w:r>
      <w:r w:rsidR="00506D9B" w:rsidRPr="00090CDE">
        <w:rPr>
          <w:sz w:val="28"/>
          <w:szCs w:val="28"/>
        </w:rPr>
        <w:t>,</w:t>
      </w:r>
      <w:r w:rsidRPr="00090CDE">
        <w:rPr>
          <w:sz w:val="28"/>
          <w:szCs w:val="28"/>
        </w:rPr>
        <w:t xml:space="preserve"> </w:t>
      </w:r>
      <w:r w:rsidR="003255B9" w:rsidRPr="00090CDE">
        <w:rPr>
          <w:sz w:val="28"/>
          <w:szCs w:val="28"/>
        </w:rPr>
        <w:t>lielākais bērnu skiats, t.i. 135</w:t>
      </w:r>
      <w:r w:rsidR="00DF3806" w:rsidRPr="00090CDE">
        <w:rPr>
          <w:sz w:val="28"/>
          <w:szCs w:val="28"/>
        </w:rPr>
        <w:t xml:space="preserve"> bērn</w:t>
      </w:r>
      <w:r w:rsidRPr="00090CDE">
        <w:rPr>
          <w:sz w:val="28"/>
          <w:szCs w:val="28"/>
        </w:rPr>
        <w:t>i</w:t>
      </w:r>
      <w:r w:rsidR="003255B9" w:rsidRPr="00090CDE">
        <w:rPr>
          <w:sz w:val="28"/>
          <w:szCs w:val="28"/>
        </w:rPr>
        <w:t xml:space="preserve"> atradās aprūpē institūcijā, 113</w:t>
      </w:r>
      <w:r w:rsidRPr="00090CDE">
        <w:rPr>
          <w:sz w:val="28"/>
          <w:szCs w:val="28"/>
        </w:rPr>
        <w:t xml:space="preserve"> bērni uzturējās audžuģimenē, 35</w:t>
      </w:r>
      <w:r w:rsidR="00DF3806" w:rsidRPr="00090CDE">
        <w:rPr>
          <w:sz w:val="28"/>
          <w:szCs w:val="28"/>
        </w:rPr>
        <w:t xml:space="preserve"> bērni aizbildnībā un tāpat attiecīgs lēmums pieņemts par </w:t>
      </w:r>
      <w:r w:rsidR="003255B9" w:rsidRPr="00090CDE">
        <w:rPr>
          <w:sz w:val="28"/>
          <w:szCs w:val="28"/>
        </w:rPr>
        <w:t>54</w:t>
      </w:r>
      <w:r w:rsidR="00A236B5" w:rsidRPr="00090CDE">
        <w:rPr>
          <w:sz w:val="28"/>
          <w:szCs w:val="28"/>
        </w:rPr>
        <w:t xml:space="preserve"> </w:t>
      </w:r>
      <w:r w:rsidR="00DF3806" w:rsidRPr="00090CDE">
        <w:rPr>
          <w:sz w:val="28"/>
          <w:szCs w:val="28"/>
        </w:rPr>
        <w:t xml:space="preserve">bērniem, kurus vēlējās adoptēt otrs laulātais. </w:t>
      </w:r>
      <w:r w:rsidR="003255B9" w:rsidRPr="00090CDE">
        <w:rPr>
          <w:sz w:val="28"/>
          <w:szCs w:val="28"/>
        </w:rPr>
        <w:t xml:space="preserve">Secināms, ka visvairāk 2015.gadā </w:t>
      </w:r>
      <w:r w:rsidR="003255B9" w:rsidRPr="00090CDE">
        <w:rPr>
          <w:sz w:val="28"/>
          <w:szCs w:val="28"/>
        </w:rPr>
        <w:lastRenderedPageBreak/>
        <w:t xml:space="preserve">lēmums par to, ka adopcija ir bērma interesēs ir pieņemts par bērniem vecuma grupā no 4-12 gadiem. </w:t>
      </w:r>
    </w:p>
    <w:p w:rsidR="00FF7227" w:rsidRPr="00090CDE" w:rsidRDefault="00FF7227" w:rsidP="00506D9B">
      <w:pPr>
        <w:tabs>
          <w:tab w:val="left" w:pos="426"/>
        </w:tabs>
        <w:spacing w:after="0" w:line="240" w:lineRule="auto"/>
        <w:rPr>
          <w:sz w:val="16"/>
          <w:szCs w:val="16"/>
        </w:rPr>
      </w:pPr>
    </w:p>
    <w:p w:rsidR="00873327" w:rsidRPr="00090CDE" w:rsidRDefault="008E2FCB" w:rsidP="004F09EC">
      <w:pPr>
        <w:pStyle w:val="Heading1"/>
        <w:rPr>
          <w:sz w:val="32"/>
        </w:rPr>
      </w:pPr>
      <w:bookmarkStart w:id="26" w:name="_Toc455139002"/>
      <w:r w:rsidRPr="00090CDE">
        <w:rPr>
          <w:sz w:val="32"/>
        </w:rPr>
        <w:t>7</w:t>
      </w:r>
      <w:r w:rsidR="00FF7227" w:rsidRPr="00090CDE">
        <w:rPr>
          <w:sz w:val="32"/>
        </w:rPr>
        <w:t>. Pārskats par bērna nodošanu citas personas aprūpē Latvijā un ārvalstīs</w:t>
      </w:r>
      <w:bookmarkEnd w:id="26"/>
    </w:p>
    <w:p w:rsidR="00873327" w:rsidRPr="00090CDE" w:rsidRDefault="00873327" w:rsidP="009F3575">
      <w:pPr>
        <w:ind w:firstLine="720"/>
        <w:rPr>
          <w:sz w:val="28"/>
          <w:szCs w:val="28"/>
          <w:lang w:eastAsia="lv-LV"/>
        </w:rPr>
      </w:pPr>
      <w:r w:rsidRPr="00090CDE">
        <w:rPr>
          <w:sz w:val="28"/>
          <w:szCs w:val="28"/>
          <w:lang w:eastAsia="lv-LV"/>
        </w:rPr>
        <w:t>Kārtību, kādā vecāki, aizbildnis, audžuģimene vai bērnu aprūpes iestāde var nodot bērnu citas personas aprūpē Latvijā un ārvalstīs, un kā ir jāveic bērna aprūpes uzraudzība, paredz Bērnu tiesību aizsardzības likuma tiesiskais regulējums.</w:t>
      </w:r>
    </w:p>
    <w:p w:rsidR="00441CA7" w:rsidRPr="00090CDE" w:rsidRDefault="008E2FCB" w:rsidP="00441CA7">
      <w:pPr>
        <w:pStyle w:val="Heading2"/>
        <w:rPr>
          <w:rFonts w:eastAsia="Times New Roman"/>
          <w:lang w:eastAsia="lv-LV"/>
        </w:rPr>
      </w:pPr>
      <w:bookmarkStart w:id="27" w:name="_Toc391458735"/>
      <w:bookmarkStart w:id="28" w:name="_Toc455139003"/>
      <w:r w:rsidRPr="00090CDE">
        <w:rPr>
          <w:rFonts w:eastAsia="Times New Roman"/>
          <w:lang w:eastAsia="lv-LV"/>
        </w:rPr>
        <w:t>7</w:t>
      </w:r>
      <w:r w:rsidR="00441CA7" w:rsidRPr="00090CDE">
        <w:rPr>
          <w:rFonts w:eastAsia="Times New Roman"/>
          <w:lang w:eastAsia="lv-LV"/>
        </w:rPr>
        <w:t>.1. Vecāku aprūpē esoša bērna nodošana citas personas aprūpē Latvijā un ārvalstī pārskata gadā</w:t>
      </w:r>
      <w:bookmarkEnd w:id="27"/>
      <w:bookmarkEnd w:id="28"/>
    </w:p>
    <w:p w:rsidR="00D17292" w:rsidRPr="00090CDE" w:rsidRDefault="00D17292" w:rsidP="00D17292">
      <w:pPr>
        <w:spacing w:after="0" w:line="240" w:lineRule="auto"/>
        <w:ind w:firstLine="720"/>
        <w:rPr>
          <w:lang w:eastAsia="lv-LV"/>
        </w:rPr>
      </w:pPr>
      <w:r w:rsidRPr="00090CDE">
        <w:rPr>
          <w:sz w:val="28"/>
          <w:szCs w:val="28"/>
          <w:lang w:eastAsia="lv-LV"/>
        </w:rPr>
        <w:t>Bāriņtiesu redzeslokā tostarp nonāk arī ģimenes, kurās vecākiem, pastāvot noteiktiem apstākļiem, rodas nepieciešamība uz noteiktu laika periodu savu bērnu nodot citas personas aprūpē, respektīvi uzticēt tai bērna ikdienas aprūpi un uzraudzību, kā arī bērna interešu pārstāvību. Bāriņtiesu praksē tie ir gadījumi, kad vecāki objektīvu iemeslu dēļ paši nevar īstenot bērnu aprūpi un pārstāvību, visbiežāk, kad bērnu vecāki dodas strādāt uz ārvalstīm. Nodrošinot atbilstošus sociālos apstākļus, tajā skaitā piemērotu dzīvesvietu, kā arī apzinot iespējas izglītības ieguvei, nereti bērni pēc neilga laika dodas līdzi vecākiem uz ārvalstīm.</w:t>
      </w:r>
    </w:p>
    <w:p w:rsidR="00D17292" w:rsidRPr="00090CDE" w:rsidRDefault="00D17292" w:rsidP="00D17292">
      <w:pPr>
        <w:spacing w:after="0" w:line="240" w:lineRule="auto"/>
        <w:ind w:firstLine="720"/>
        <w:rPr>
          <w:sz w:val="28"/>
          <w:szCs w:val="28"/>
          <w:lang w:eastAsia="lv-LV"/>
        </w:rPr>
      </w:pPr>
      <w:r w:rsidRPr="00090CDE">
        <w:rPr>
          <w:sz w:val="28"/>
          <w:szCs w:val="28"/>
          <w:lang w:eastAsia="lv-LV"/>
        </w:rPr>
        <w:t>Bērnu tiesību</w:t>
      </w:r>
      <w:r w:rsidR="009F3575" w:rsidRPr="00090CDE">
        <w:rPr>
          <w:sz w:val="28"/>
          <w:szCs w:val="28"/>
          <w:lang w:eastAsia="lv-LV"/>
        </w:rPr>
        <w:t xml:space="preserve"> aizsardzības likuma</w:t>
      </w:r>
      <w:r w:rsidRPr="00090CDE">
        <w:rPr>
          <w:sz w:val="28"/>
          <w:szCs w:val="28"/>
          <w:lang w:eastAsia="lv-LV"/>
        </w:rPr>
        <w:t xml:space="preserve"> 45.</w:t>
      </w:r>
      <w:r w:rsidRPr="00090CDE">
        <w:rPr>
          <w:sz w:val="28"/>
          <w:szCs w:val="28"/>
          <w:vertAlign w:val="superscript"/>
          <w:lang w:eastAsia="lv-LV"/>
        </w:rPr>
        <w:t>1</w:t>
      </w:r>
      <w:r w:rsidRPr="00090CDE">
        <w:rPr>
          <w:sz w:val="28"/>
          <w:szCs w:val="28"/>
          <w:lang w:eastAsia="lv-LV"/>
        </w:rPr>
        <w:t xml:space="preserve"> un 45.</w:t>
      </w:r>
      <w:r w:rsidRPr="00090CDE">
        <w:rPr>
          <w:sz w:val="28"/>
          <w:szCs w:val="28"/>
          <w:vertAlign w:val="superscript"/>
          <w:lang w:eastAsia="lv-LV"/>
        </w:rPr>
        <w:t>4</w:t>
      </w:r>
      <w:r w:rsidRPr="00090CDE">
        <w:rPr>
          <w:sz w:val="28"/>
          <w:szCs w:val="28"/>
          <w:lang w:eastAsia="lv-LV"/>
        </w:rPr>
        <w:t xml:space="preserve"> panta pirmā daļa nosaka, ka vecāki var nodot bērnu citas personas aprūpē Latvijā vai ārvalstīs uz laiku, kas ilgāks par trim mēnešiem, ja pirms nodošanas vecāku dzīvesvietas bāriņtiesas atzinusi, ka šāda nodošana atbilst bērna interesēm un attiecīgā persona spēs bērnu pienācīgi aprūpēt. Tāpat pirms bērna nodošanas citas personas aprūpē vecākam nepieciešams vērsties pie zvērināta notāra vai bāriņtiesas, ja attiecīgajā novada teritorijā vai novada pilsētā nav notāra, lai sastādītu pilnvaru, ar kuru tiek noteikts, kādā apjomā vecāki pilnvaro sava bērna intereses pārstāvēt citu personu. </w:t>
      </w:r>
    </w:p>
    <w:p w:rsidR="00D17292" w:rsidRPr="00090CDE" w:rsidRDefault="00D17292" w:rsidP="00D20D8E">
      <w:pPr>
        <w:spacing w:after="0" w:line="240" w:lineRule="auto"/>
        <w:ind w:firstLine="720"/>
        <w:rPr>
          <w:sz w:val="28"/>
          <w:szCs w:val="28"/>
          <w:lang w:eastAsia="lv-LV"/>
        </w:rPr>
      </w:pPr>
      <w:r w:rsidRPr="00090CDE">
        <w:rPr>
          <w:sz w:val="28"/>
          <w:szCs w:val="28"/>
          <w:lang w:eastAsia="lv-LV"/>
        </w:rPr>
        <w:t>Minētais tiesiskais regulējums ir piemērojams tikai tajos gadījumos, kad izvērtējot apstākļus, bāriņtiesa konstatē, ka vecāku vēlme nodot bērnu citas personas aprūpē ir pamatota. Savukārt gadījumos, kad bāriņtiesa konstatē kādu no Latvijas Republikas Civillikuma 203.pantā minētajiem apstākļiem, bāriņtiesa lemj par bērna aizgādības</w:t>
      </w:r>
      <w:r w:rsidR="00D20D8E" w:rsidRPr="00090CDE">
        <w:rPr>
          <w:sz w:val="28"/>
          <w:szCs w:val="28"/>
          <w:lang w:eastAsia="lv-LV"/>
        </w:rPr>
        <w:t xml:space="preserve"> tiesību pārtraukšanu vecākam. </w:t>
      </w:r>
    </w:p>
    <w:p w:rsidR="003A2ACE" w:rsidRPr="00090CDE" w:rsidRDefault="00D17292" w:rsidP="00932C50">
      <w:pPr>
        <w:jc w:val="right"/>
        <w:rPr>
          <w:b/>
          <w:sz w:val="26"/>
          <w:szCs w:val="26"/>
        </w:rPr>
      </w:pPr>
      <w:r w:rsidRPr="00090CDE">
        <w:rPr>
          <w:b/>
          <w:sz w:val="26"/>
          <w:szCs w:val="26"/>
        </w:rPr>
        <w:t>2</w:t>
      </w:r>
      <w:r w:rsidR="002C6358" w:rsidRPr="00090CDE">
        <w:rPr>
          <w:b/>
          <w:sz w:val="26"/>
          <w:szCs w:val="26"/>
        </w:rPr>
        <w:t>9</w:t>
      </w:r>
      <w:r w:rsidRPr="00090CDE">
        <w:rPr>
          <w:b/>
          <w:sz w:val="26"/>
          <w:szCs w:val="26"/>
        </w:rPr>
        <w:t>.diagramma</w:t>
      </w:r>
    </w:p>
    <w:p w:rsidR="003A2ACE" w:rsidRPr="00090CDE" w:rsidRDefault="003A2ACE" w:rsidP="002D2D6B">
      <w:pPr>
        <w:ind w:firstLine="720"/>
        <w:rPr>
          <w:sz w:val="28"/>
          <w:szCs w:val="28"/>
          <w:lang w:eastAsia="lv-LV"/>
        </w:rPr>
      </w:pPr>
      <w:r w:rsidRPr="00090CDE">
        <w:rPr>
          <w:noProof/>
          <w:lang w:val="en-GB" w:eastAsia="en-GB"/>
        </w:rPr>
        <w:drawing>
          <wp:inline distT="0" distB="0" distL="0" distR="0" wp14:anchorId="4FA36E36" wp14:editId="4BC7F026">
            <wp:extent cx="5133975" cy="2149813"/>
            <wp:effectExtent l="0" t="0" r="9525" b="3175"/>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D17292" w:rsidRPr="00090CDE" w:rsidRDefault="002D2D6B" w:rsidP="00D17292">
      <w:pPr>
        <w:ind w:firstLine="720"/>
        <w:rPr>
          <w:sz w:val="28"/>
          <w:szCs w:val="28"/>
          <w:lang w:eastAsia="lv-LV"/>
        </w:rPr>
      </w:pPr>
      <w:r w:rsidRPr="00090CDE">
        <w:rPr>
          <w:sz w:val="28"/>
          <w:szCs w:val="28"/>
          <w:lang w:eastAsia="lv-LV"/>
        </w:rPr>
        <w:lastRenderedPageBreak/>
        <w:t xml:space="preserve">Apkopojot bāriņtiesu </w:t>
      </w:r>
      <w:r w:rsidR="00D17292" w:rsidRPr="00090CDE">
        <w:rPr>
          <w:sz w:val="28"/>
          <w:szCs w:val="28"/>
          <w:lang w:eastAsia="lv-LV"/>
        </w:rPr>
        <w:t>sniegtos datus</w:t>
      </w:r>
      <w:r w:rsidRPr="00090CDE">
        <w:rPr>
          <w:sz w:val="28"/>
          <w:szCs w:val="28"/>
          <w:lang w:eastAsia="lv-LV"/>
        </w:rPr>
        <w:t>,</w:t>
      </w:r>
      <w:r w:rsidR="00D17292" w:rsidRPr="00090CDE">
        <w:rPr>
          <w:sz w:val="28"/>
          <w:szCs w:val="28"/>
          <w:lang w:eastAsia="lv-LV"/>
        </w:rPr>
        <w:t xml:space="preserve"> minēto kategoriju lietās par bērnu skaita izmaiņām pēdējo </w:t>
      </w:r>
      <w:r w:rsidR="00705B83" w:rsidRPr="00090CDE">
        <w:rPr>
          <w:sz w:val="28"/>
          <w:szCs w:val="28"/>
          <w:lang w:eastAsia="lv-LV"/>
        </w:rPr>
        <w:t>piecu</w:t>
      </w:r>
      <w:r w:rsidR="00D17292" w:rsidRPr="00090CDE">
        <w:rPr>
          <w:sz w:val="28"/>
          <w:szCs w:val="28"/>
          <w:lang w:eastAsia="lv-LV"/>
        </w:rPr>
        <w:t xml:space="preserve"> gadu laikā, secināms, ka bērnu skaitam, kurus vecāki nodevuši citas personas aprūpē, </w:t>
      </w:r>
      <w:r w:rsidR="00705B83" w:rsidRPr="00090CDE">
        <w:rPr>
          <w:sz w:val="28"/>
          <w:szCs w:val="28"/>
          <w:lang w:eastAsia="lv-LV"/>
        </w:rPr>
        <w:t>ir</w:t>
      </w:r>
      <w:r w:rsidR="00D17292" w:rsidRPr="00090CDE">
        <w:rPr>
          <w:sz w:val="28"/>
          <w:szCs w:val="28"/>
          <w:lang w:eastAsia="lv-LV"/>
        </w:rPr>
        <w:t xml:space="preserve"> tendence </w:t>
      </w:r>
      <w:r w:rsidR="00705B83" w:rsidRPr="00090CDE">
        <w:rPr>
          <w:sz w:val="28"/>
          <w:szCs w:val="28"/>
          <w:lang w:eastAsia="lv-LV"/>
        </w:rPr>
        <w:t xml:space="preserve">ik gadu </w:t>
      </w:r>
      <w:r w:rsidR="00D17292" w:rsidRPr="00090CDE">
        <w:rPr>
          <w:sz w:val="28"/>
          <w:szCs w:val="28"/>
          <w:lang w:eastAsia="lv-LV"/>
        </w:rPr>
        <w:t>samazināties. Konstatēts, ka 2014.gadā citas personas aprūpē uz laiku, kas ilgāks par 3 mēnešiem, nodoti 316 bērni, t.i. par 110 bērniem mazāk nekā 2013.gadā un par 160 bērniem mazāk nekā 2012.gadā. No 316 bērniem 2014.gadā 309 bērni nodoti citas personas aprūpē Latvijā, un 7 bērni nodoti citas personas aprūpē ārvalstīs.</w:t>
      </w:r>
      <w:r w:rsidR="00705B83" w:rsidRPr="00090CDE">
        <w:rPr>
          <w:sz w:val="28"/>
          <w:szCs w:val="28"/>
          <w:lang w:eastAsia="lv-LV"/>
        </w:rPr>
        <w:t xml:space="preserve"> Savukārt apkopojot statistikas datus par 2015.gadu, konstatēts, ka bāriņtiesas sniegušas datus par 287 bērniem, par kuriem bāriņtiesa pārskata gadā atzinusi, ka bērna nodošana citas personas aprūpē Latvijā un ārvalstīs atbilst bērna interesēm un persona spēs bērnu pienācīgi aprūpēt. Ievērojot minēto, secināms, ka statistisko rādītāju samazinājums nav būtisks, proti, dati sniegti par 29 bērniem mazāk nekā 2014.gadā. </w:t>
      </w:r>
      <w:r w:rsidR="002B3ADE" w:rsidRPr="00090CDE">
        <w:rPr>
          <w:sz w:val="28"/>
          <w:szCs w:val="28"/>
          <w:lang w:eastAsia="lv-LV"/>
        </w:rPr>
        <w:t xml:space="preserve">No kopējā bērnu skaita (287 bērni), kuri nodoti citas personas aprūpē, 274 bērni nodoti citas personas aprūpē Latvijā un tikai 13 bērni- ārvalstīs. Analizējot statistikas datus vecuma griezumā, konstatēts, ka vislielākais skaits bērnu, proti, 180 bērni citas personas aprūpē nodoti vecuma grupā no 4-12 gadiem. </w:t>
      </w:r>
      <w:r w:rsidR="00423CF5" w:rsidRPr="00090CDE">
        <w:rPr>
          <w:sz w:val="28"/>
          <w:szCs w:val="28"/>
          <w:lang w:eastAsia="lv-LV"/>
        </w:rPr>
        <w:t xml:space="preserve">Skaitliski mazāks bērnu skaits, proti, 69 bērni nodoti citas personas aprūpē vecuma grupā no 13-17 gadiem. Vienlaikus konstatēts, ka vecuma grupā no 0-3 gadiem citas personas aprūpē nodots 38 bērns, kas, ņemot vērā bērnu vecumu, ir augsts statistiskais rādītājs. </w:t>
      </w:r>
    </w:p>
    <w:p w:rsidR="00D17292" w:rsidRPr="00090CDE" w:rsidRDefault="00D17292" w:rsidP="00E46E39">
      <w:pPr>
        <w:spacing w:after="0" w:line="240" w:lineRule="auto"/>
        <w:ind w:firstLine="720"/>
        <w:rPr>
          <w:sz w:val="28"/>
          <w:szCs w:val="28"/>
          <w:lang w:eastAsia="lv-LV"/>
        </w:rPr>
      </w:pPr>
      <w:r w:rsidRPr="00090CDE">
        <w:rPr>
          <w:sz w:val="28"/>
          <w:szCs w:val="28"/>
          <w:lang w:eastAsia="lv-LV"/>
        </w:rPr>
        <w:t xml:space="preserve">Vienlaikus Bērnu tiesību aizsardzības likuma normas paredz, ka personas dzīvesvietas bāriņtiesa nodrošina regulāru bērna dzīves apstākļu pārbaudi. Ja pēc bērna nodošanas citas personas aprūpē tiek konstatēts, ka šī persona bērnu pienācīgi neaprūpē, bāriņtiesa nodrošina bērna atgriešanos vecāku aprūpē. Ja šāda atgriešanās nav iespējama, bāriņtiesa savas kompetences ietvaros lemj par aizgādības tiesību pārtraukšanu vecākiem. Tāpat bāriņtiesu praksē ir gadījumi, kad vecāks nodod bērnu citas personas aprūpē, bet pēc šādas nodošanas vecāks neuztur kontaktus ar bērnu, neinteresējas par viņa attīstību, veselības stāvokli un ikdienas gaitām, kā arī materiāli neatbalsta bērnu u.c. Arī šādos gadījumos bāriņtiesas kompetencē ir lemt par iespējamu aizgādības tiesību pārtraukšanu vecākam, un šo personu, kuras aprūpē bērns tika nodots, iespējams iecelt par bērna likumisko pārstāvi, ja attiecīgā aizbildnība </w:t>
      </w:r>
      <w:r w:rsidR="00E46E39" w:rsidRPr="00090CDE">
        <w:rPr>
          <w:sz w:val="28"/>
          <w:szCs w:val="28"/>
          <w:lang w:eastAsia="lv-LV"/>
        </w:rPr>
        <w:t xml:space="preserve">ir bērna interesēm atbilstoša. </w:t>
      </w:r>
    </w:p>
    <w:p w:rsidR="00D17292" w:rsidRPr="00090CDE" w:rsidRDefault="00D17292" w:rsidP="00D17292">
      <w:pPr>
        <w:rPr>
          <w:lang w:eastAsia="lv-LV"/>
        </w:rPr>
      </w:pPr>
    </w:p>
    <w:p w:rsidR="00D17292" w:rsidRPr="00090CDE" w:rsidRDefault="008E2FCB" w:rsidP="00D17292">
      <w:pPr>
        <w:pStyle w:val="Heading2"/>
        <w:rPr>
          <w:rFonts w:eastAsia="Times New Roman"/>
          <w:lang w:eastAsia="lv-LV"/>
        </w:rPr>
      </w:pPr>
      <w:bookmarkStart w:id="29" w:name="_Toc422214093"/>
      <w:bookmarkStart w:id="30" w:name="_Toc455139004"/>
      <w:r w:rsidRPr="00090CDE">
        <w:rPr>
          <w:rFonts w:eastAsia="Times New Roman"/>
          <w:lang w:eastAsia="lv-LV"/>
        </w:rPr>
        <w:t>7</w:t>
      </w:r>
      <w:r w:rsidR="00D17292" w:rsidRPr="00090CDE">
        <w:rPr>
          <w:rFonts w:eastAsia="Times New Roman"/>
          <w:lang w:eastAsia="lv-LV"/>
        </w:rPr>
        <w:t>.2.Ārpusģimenes aprūpē esoša bērna nodošana citas personas aprūpē Latvijā un ārvalstīs pārskata gadā</w:t>
      </w:r>
      <w:bookmarkEnd w:id="29"/>
      <w:bookmarkEnd w:id="30"/>
    </w:p>
    <w:p w:rsidR="00D17292" w:rsidRPr="00090CDE" w:rsidRDefault="00D17292" w:rsidP="00D17292">
      <w:pPr>
        <w:rPr>
          <w:lang w:eastAsia="lv-LV"/>
        </w:rPr>
      </w:pPr>
    </w:p>
    <w:p w:rsidR="00D17292" w:rsidRPr="00090CDE" w:rsidRDefault="00D17292" w:rsidP="00D17292">
      <w:pPr>
        <w:spacing w:after="0" w:line="240" w:lineRule="auto"/>
        <w:ind w:firstLine="720"/>
        <w:rPr>
          <w:sz w:val="28"/>
          <w:szCs w:val="28"/>
          <w:lang w:eastAsia="lv-LV"/>
        </w:rPr>
      </w:pPr>
      <w:r w:rsidRPr="00090CDE">
        <w:rPr>
          <w:sz w:val="28"/>
          <w:szCs w:val="28"/>
          <w:lang w:eastAsia="lv-LV"/>
        </w:rPr>
        <w:t>Saskaņā ar Bērnu tiesību aizsardzības likuma 45.</w:t>
      </w:r>
      <w:r w:rsidRPr="00090CDE">
        <w:rPr>
          <w:sz w:val="28"/>
          <w:szCs w:val="28"/>
          <w:vertAlign w:val="superscript"/>
          <w:lang w:eastAsia="lv-LV"/>
        </w:rPr>
        <w:t>2</w:t>
      </w:r>
      <w:r w:rsidRPr="00090CDE">
        <w:rPr>
          <w:sz w:val="28"/>
          <w:szCs w:val="28"/>
          <w:lang w:eastAsia="lv-LV"/>
        </w:rPr>
        <w:t xml:space="preserve"> panta pirmajā daļā paredzēto aizbildnis un audžuģimene var nodot bērnu uz laiku no viena mēneša līdz trim mēnešiem citas personas aprūpē Latvijā, ja pirms nodošanas bāriņtiesa, kas pieņēmusi lēmumu par ārpusģimenes aprūpi, atzinusi, ka šāda nodošana atbilst bērna interesēm un attiecīgā persona spēs bērnu pienācīgi aprūpēt.</w:t>
      </w:r>
    </w:p>
    <w:p w:rsidR="00D17292" w:rsidRPr="00090CDE" w:rsidRDefault="00D17292" w:rsidP="00D17292">
      <w:pPr>
        <w:spacing w:after="0" w:line="240" w:lineRule="auto"/>
        <w:ind w:firstLine="720"/>
        <w:rPr>
          <w:sz w:val="28"/>
          <w:szCs w:val="28"/>
        </w:rPr>
      </w:pPr>
      <w:r w:rsidRPr="00090CDE">
        <w:rPr>
          <w:sz w:val="28"/>
          <w:szCs w:val="28"/>
        </w:rPr>
        <w:lastRenderedPageBreak/>
        <w:t>Bāriņtiesa nodrošina bērna atgriešanos ārpusģimenes aprūpē, ja pēc bērna nodošanas citas personas aprūpē tiek konstatēts, ka šī persona bērnu pienācīgi neaprūpē.</w:t>
      </w:r>
      <w:r w:rsidR="0027779E" w:rsidRPr="00090CDE">
        <w:rPr>
          <w:sz w:val="28"/>
          <w:szCs w:val="28"/>
        </w:rPr>
        <w:t xml:space="preserve"> </w:t>
      </w:r>
    </w:p>
    <w:p w:rsidR="0027779E" w:rsidRPr="00090CDE" w:rsidRDefault="0027779E" w:rsidP="00D17292">
      <w:pPr>
        <w:spacing w:after="0" w:line="240" w:lineRule="auto"/>
        <w:ind w:firstLine="720"/>
        <w:rPr>
          <w:sz w:val="28"/>
          <w:szCs w:val="28"/>
        </w:rPr>
      </w:pPr>
      <w:r w:rsidRPr="00090CDE">
        <w:rPr>
          <w:sz w:val="28"/>
          <w:szCs w:val="28"/>
        </w:rPr>
        <w:t>Bērnu tiesību aizsardzības likuma 1.panta 15.punktā noteikts, ka viesģimene ir laulātie vai persona, as uz aliku uzņem savā dzīvesvietā bērnu aprūpes iestādē ievietotu bērnu vai bērnu aprūpes iestādē kontaktējas ar tur ievietotu bērnu.</w:t>
      </w:r>
    </w:p>
    <w:p w:rsidR="00D17292" w:rsidRPr="00090CDE" w:rsidRDefault="00D17292" w:rsidP="00D17292">
      <w:pPr>
        <w:spacing w:after="0" w:line="240" w:lineRule="auto"/>
        <w:ind w:firstLine="720"/>
        <w:rPr>
          <w:sz w:val="28"/>
          <w:szCs w:val="28"/>
          <w:lang w:eastAsia="lv-LV"/>
        </w:rPr>
      </w:pPr>
      <w:r w:rsidRPr="00090CDE">
        <w:rPr>
          <w:sz w:val="28"/>
          <w:szCs w:val="28"/>
          <w:lang w:eastAsia="lv-LV"/>
        </w:rPr>
        <w:t>Institūcija var atļaut bērnam iestādē tikties ar personu vai nodot bērnu uz laiku šīs personas aprūpē, ja tai atbilstoši minētā likuma 45.</w:t>
      </w:r>
      <w:r w:rsidRPr="00090CDE">
        <w:rPr>
          <w:sz w:val="28"/>
          <w:szCs w:val="28"/>
          <w:vertAlign w:val="superscript"/>
          <w:lang w:eastAsia="lv-LV"/>
        </w:rPr>
        <w:t>3</w:t>
      </w:r>
      <w:r w:rsidRPr="00090CDE">
        <w:rPr>
          <w:sz w:val="28"/>
          <w:szCs w:val="28"/>
          <w:lang w:eastAsia="lv-LV"/>
        </w:rPr>
        <w:t xml:space="preserve"> panta prasībām piešķirts viesģimenes statuss un institūcija ir guvusi pārliecību, ka viesģimenes sniegs šim bērnam nepieciešamo atbalstu un spēs atbilstoši bērna vajadzībām viņu aprūpēt un uzraudzīt. Institūcija, vienojas ar viesģimeni, nosaka bērna uzturēšanās ilgumu viesģimenē. Bāriņtiesa nodrošina regulāru viesģimenē ievietotā bērna dzīves apstākļu pārbaudi. </w:t>
      </w:r>
    </w:p>
    <w:p w:rsidR="00D17292" w:rsidRPr="00090CDE" w:rsidRDefault="00D17292" w:rsidP="00D17292">
      <w:pPr>
        <w:spacing w:after="0" w:line="240" w:lineRule="auto"/>
        <w:ind w:firstLine="720"/>
        <w:rPr>
          <w:sz w:val="28"/>
          <w:szCs w:val="28"/>
        </w:rPr>
      </w:pPr>
      <w:r w:rsidRPr="00090CDE">
        <w:rPr>
          <w:sz w:val="28"/>
          <w:szCs w:val="28"/>
          <w:lang w:eastAsia="lv-LV"/>
        </w:rPr>
        <w:t>J</w:t>
      </w:r>
      <w:r w:rsidRPr="00090CDE">
        <w:rPr>
          <w:sz w:val="28"/>
          <w:szCs w:val="28"/>
        </w:rPr>
        <w:t xml:space="preserve">a persona (laulātie) vēlas iegūt viesģimenes statusu, viņai (viņiem) ir jāvēršas savas dzīvesvietas bāriņtiesā, kas pirms attiecīgā lēmuma pieņemšanas izvērtē iespējamās viesģimenes piemērotību viesģimenes statusa iegūšanai, noskaidrojot lietas būtiskos faktiskos apstākļus, veicot </w:t>
      </w:r>
      <w:r w:rsidRPr="00090CDE">
        <w:rPr>
          <w:sz w:val="28"/>
          <w:szCs w:val="28"/>
          <w:lang w:eastAsia="lv-LV"/>
        </w:rPr>
        <w:t>Bērnu tiesību aizsardzības likuma 45.</w:t>
      </w:r>
      <w:r w:rsidRPr="00090CDE">
        <w:rPr>
          <w:sz w:val="28"/>
          <w:szCs w:val="28"/>
          <w:vertAlign w:val="superscript"/>
          <w:lang w:eastAsia="lv-LV"/>
        </w:rPr>
        <w:t>3</w:t>
      </w:r>
      <w:r w:rsidRPr="00090CDE">
        <w:rPr>
          <w:sz w:val="28"/>
          <w:szCs w:val="28"/>
          <w:lang w:eastAsia="lv-LV"/>
        </w:rPr>
        <w:t xml:space="preserve"> pantā noteiktās darbības attiecīgas informācijas ieguvei. </w:t>
      </w:r>
    </w:p>
    <w:p w:rsidR="003A2ACE" w:rsidRPr="00090CDE" w:rsidRDefault="002829B4" w:rsidP="00997B4C">
      <w:pPr>
        <w:jc w:val="right"/>
        <w:rPr>
          <w:b/>
          <w:sz w:val="26"/>
          <w:szCs w:val="26"/>
        </w:rPr>
      </w:pPr>
      <w:r w:rsidRPr="00090CDE">
        <w:rPr>
          <w:b/>
          <w:sz w:val="26"/>
          <w:szCs w:val="26"/>
        </w:rPr>
        <w:t>30</w:t>
      </w:r>
      <w:r w:rsidR="00997B4C" w:rsidRPr="00090CDE">
        <w:rPr>
          <w:b/>
          <w:sz w:val="26"/>
          <w:szCs w:val="26"/>
        </w:rPr>
        <w:t>.diagramma</w:t>
      </w:r>
    </w:p>
    <w:p w:rsidR="003A2ACE" w:rsidRPr="00090CDE" w:rsidRDefault="003A2ACE" w:rsidP="00D17292">
      <w:pPr>
        <w:spacing w:after="0" w:line="240" w:lineRule="auto"/>
        <w:rPr>
          <w:sz w:val="28"/>
          <w:szCs w:val="28"/>
          <w:lang w:eastAsia="lv-LV"/>
        </w:rPr>
      </w:pPr>
    </w:p>
    <w:p w:rsidR="003A2ACE" w:rsidRPr="00090CDE" w:rsidRDefault="003A2ACE" w:rsidP="002829B4">
      <w:pPr>
        <w:spacing w:after="0" w:line="240" w:lineRule="auto"/>
        <w:jc w:val="center"/>
        <w:rPr>
          <w:sz w:val="28"/>
          <w:szCs w:val="28"/>
          <w:lang w:eastAsia="lv-LV"/>
        </w:rPr>
      </w:pPr>
      <w:r w:rsidRPr="00090CDE">
        <w:rPr>
          <w:noProof/>
          <w:lang w:val="en-GB" w:eastAsia="en-GB"/>
        </w:rPr>
        <w:drawing>
          <wp:inline distT="0" distB="0" distL="0" distR="0" wp14:anchorId="5054B62C" wp14:editId="5CDDA40D">
            <wp:extent cx="5602605" cy="3618689"/>
            <wp:effectExtent l="0" t="0" r="17145" b="127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3A2ACE" w:rsidRPr="00090CDE" w:rsidRDefault="003A2ACE" w:rsidP="00D17292">
      <w:pPr>
        <w:spacing w:after="0" w:line="240" w:lineRule="auto"/>
        <w:rPr>
          <w:sz w:val="28"/>
          <w:szCs w:val="28"/>
          <w:lang w:eastAsia="lv-LV"/>
        </w:rPr>
      </w:pPr>
    </w:p>
    <w:p w:rsidR="00D17292" w:rsidRPr="00090CDE" w:rsidRDefault="00D17292" w:rsidP="00D17292">
      <w:pPr>
        <w:spacing w:after="0" w:line="240" w:lineRule="auto"/>
        <w:ind w:firstLine="720"/>
        <w:rPr>
          <w:sz w:val="28"/>
          <w:szCs w:val="28"/>
          <w:lang w:eastAsia="lv-LV"/>
        </w:rPr>
      </w:pPr>
      <w:r w:rsidRPr="00090CDE">
        <w:rPr>
          <w:sz w:val="28"/>
          <w:szCs w:val="28"/>
          <w:lang w:eastAsia="lv-LV"/>
        </w:rPr>
        <w:t>Apkopojot datus par ārpusģimenes aprūpē esošu bērnu nodošanu citas personas aprūpē Latvijā, secināms, ka praksē salīdzinoši reti bāriņtiesām savas kompetences ietvaros nepieciešams pieņemt atzinumu par to, vai aizbildnībā un audžuģimenē esoša bērna nodošana citas personas aprūpē atbilst konkrētā bērna interesēm. Laika posmā no 2012.gada lī</w:t>
      </w:r>
      <w:r w:rsidR="00381871" w:rsidRPr="00090CDE">
        <w:rPr>
          <w:sz w:val="28"/>
          <w:szCs w:val="28"/>
          <w:lang w:eastAsia="lv-LV"/>
        </w:rPr>
        <w:t>dz 2015</w:t>
      </w:r>
      <w:r w:rsidRPr="00090CDE">
        <w:rPr>
          <w:sz w:val="28"/>
          <w:szCs w:val="28"/>
          <w:lang w:eastAsia="lv-LV"/>
        </w:rPr>
        <w:t xml:space="preserve">.gadam, ieskaitot, konstatēts neliels bērnu skaits, kurus </w:t>
      </w:r>
      <w:r w:rsidRPr="00090CDE">
        <w:rPr>
          <w:sz w:val="28"/>
          <w:szCs w:val="28"/>
          <w:lang w:eastAsia="lv-LV"/>
        </w:rPr>
        <w:lastRenderedPageBreak/>
        <w:t>aizbildņi un audžuģimenes nodevušas citas personas aprūpē Latvijā uz laiku no viena mēneša līdz trim mēnešiem. Piemēram, 2013.gadā 12 bērnus aizbildņi nodevuši citas personas aprūpē, savukārt 10 bērnus</w:t>
      </w:r>
      <w:r w:rsidRPr="00090CDE">
        <w:rPr>
          <w:b/>
          <w:sz w:val="28"/>
          <w:szCs w:val="28"/>
          <w:lang w:eastAsia="lv-LV"/>
        </w:rPr>
        <w:t>-</w:t>
      </w:r>
      <w:r w:rsidRPr="00090CDE">
        <w:rPr>
          <w:sz w:val="28"/>
          <w:szCs w:val="28"/>
          <w:lang w:eastAsia="lv-LV"/>
        </w:rPr>
        <w:t xml:space="preserve"> audžuģimenes. Savukārt 2014.gadā tikai 2 aizbildnībā esošie bērni un 13 audžuģimenē esošie bērni nodoti citas personas aprūpē Latvijā. </w:t>
      </w:r>
      <w:r w:rsidR="00381871" w:rsidRPr="00090CDE">
        <w:rPr>
          <w:sz w:val="28"/>
          <w:szCs w:val="28"/>
          <w:lang w:eastAsia="lv-LV"/>
        </w:rPr>
        <w:t>Noskaidrots, ka 2015.gadā 5 bērnus</w:t>
      </w:r>
      <w:r w:rsidR="00391E19">
        <w:rPr>
          <w:sz w:val="28"/>
          <w:szCs w:val="28"/>
          <w:lang w:eastAsia="lv-LV"/>
        </w:rPr>
        <w:t xml:space="preserve"> </w:t>
      </w:r>
      <w:r w:rsidR="00381871" w:rsidRPr="00090CDE">
        <w:rPr>
          <w:sz w:val="28"/>
          <w:szCs w:val="28"/>
          <w:lang w:eastAsia="lv-LV"/>
        </w:rPr>
        <w:t xml:space="preserve"> aizbildņi </w:t>
      </w:r>
      <w:r w:rsidR="00391E19">
        <w:rPr>
          <w:sz w:val="28"/>
          <w:szCs w:val="28"/>
          <w:lang w:eastAsia="lv-LV"/>
        </w:rPr>
        <w:t>un 6 bērnus audžuģimenes nodevušas</w:t>
      </w:r>
      <w:r w:rsidR="00381871" w:rsidRPr="00090CDE">
        <w:rPr>
          <w:sz w:val="28"/>
          <w:szCs w:val="28"/>
          <w:lang w:eastAsia="lv-LV"/>
        </w:rPr>
        <w:t xml:space="preserve"> citas personas aprūpē Latvijā uz laiku no 1-3 mēnešiem. </w:t>
      </w:r>
    </w:p>
    <w:p w:rsidR="00D17292" w:rsidRPr="00090CDE" w:rsidRDefault="00D17292" w:rsidP="00381871">
      <w:pPr>
        <w:spacing w:after="0" w:line="240" w:lineRule="auto"/>
        <w:ind w:firstLine="720"/>
        <w:rPr>
          <w:sz w:val="28"/>
          <w:szCs w:val="28"/>
          <w:lang w:eastAsia="lv-LV"/>
        </w:rPr>
      </w:pPr>
      <w:r w:rsidRPr="00090CDE">
        <w:rPr>
          <w:sz w:val="28"/>
          <w:szCs w:val="28"/>
          <w:lang w:eastAsia="lv-LV"/>
        </w:rPr>
        <w:t>Vienlaikus, apkopjot statistisko informāciju, noskaidrots, ka turpinās tendence ik gadu samazināties viesģime</w:t>
      </w:r>
      <w:r w:rsidR="003C4E7E">
        <w:rPr>
          <w:sz w:val="28"/>
          <w:szCs w:val="28"/>
          <w:lang w:eastAsia="lv-LV"/>
        </w:rPr>
        <w:t>ņu kopējam skaitam, proti, no 30</w:t>
      </w:r>
      <w:r w:rsidRPr="00090CDE">
        <w:rPr>
          <w:sz w:val="28"/>
          <w:szCs w:val="28"/>
          <w:lang w:eastAsia="lv-LV"/>
        </w:rPr>
        <w:t xml:space="preserve">.diagrammas redzams, ka 2013.gadā viesģimenes statuss ar bāriņtiesas lēmumu piešķirts 113 ģimenēm, savukārt 2014.gadā </w:t>
      </w:r>
      <w:r w:rsidR="00381871" w:rsidRPr="00090CDE">
        <w:rPr>
          <w:sz w:val="28"/>
          <w:szCs w:val="28"/>
          <w:lang w:eastAsia="lv-LV"/>
        </w:rPr>
        <w:t xml:space="preserve">viesģimenes statuss  piešķirts </w:t>
      </w:r>
      <w:r w:rsidRPr="00090CDE">
        <w:rPr>
          <w:sz w:val="28"/>
          <w:szCs w:val="28"/>
          <w:lang w:eastAsia="lv-LV"/>
        </w:rPr>
        <w:t>89 ģimenēm</w:t>
      </w:r>
      <w:r w:rsidR="00381871" w:rsidRPr="00090CDE">
        <w:rPr>
          <w:sz w:val="28"/>
          <w:szCs w:val="28"/>
          <w:lang w:eastAsia="lv-LV"/>
        </w:rPr>
        <w:t xml:space="preserve">. Konstatēts, ka 2015.gadā viesģimenes statuss piešķirts 59 ģimenēm, </w:t>
      </w:r>
      <w:r w:rsidRPr="00090CDE">
        <w:rPr>
          <w:sz w:val="28"/>
          <w:szCs w:val="28"/>
          <w:lang w:eastAsia="lv-LV"/>
        </w:rPr>
        <w:t xml:space="preserve"> kas ir par </w:t>
      </w:r>
      <w:r w:rsidR="00381871" w:rsidRPr="00090CDE">
        <w:rPr>
          <w:sz w:val="28"/>
          <w:szCs w:val="28"/>
          <w:lang w:eastAsia="lv-LV"/>
        </w:rPr>
        <w:t xml:space="preserve">30 ģimenēm mazāk nekā </w:t>
      </w:r>
      <w:r w:rsidRPr="00090CDE">
        <w:rPr>
          <w:sz w:val="28"/>
          <w:szCs w:val="28"/>
          <w:lang w:eastAsia="lv-LV"/>
        </w:rPr>
        <w:t>iepriekšējā gadā.</w:t>
      </w:r>
    </w:p>
    <w:p w:rsidR="00D17292" w:rsidRPr="00090CDE" w:rsidRDefault="00D17292" w:rsidP="00D17292">
      <w:pPr>
        <w:spacing w:after="0" w:line="240" w:lineRule="auto"/>
        <w:ind w:firstLine="720"/>
        <w:rPr>
          <w:sz w:val="28"/>
          <w:szCs w:val="28"/>
          <w:lang w:eastAsia="lv-LV"/>
        </w:rPr>
      </w:pPr>
      <w:r w:rsidRPr="00090CDE">
        <w:rPr>
          <w:sz w:val="28"/>
          <w:szCs w:val="28"/>
          <w:lang w:eastAsia="lv-LV"/>
        </w:rPr>
        <w:t>Ārpusģimenes aprūpē esošu bērnu var nodot uz laiku citas personas aprūpē ārvalstī, ja tam piekrīt bāriņtiesa, kas pieņēmusi lēmumu par ārpusģimenes aprūpi, un ja šī bāriņtiesa atzinusi, ka nodošana atbilst bērna interesēm un attiecīgā persona spēs bērnu pienācīgi aprūpēt. Pirms bāriņtiesa lemj par bērna nodošanu citas personas aprūpē ārvalstī, persona, kura vēlas uzņemt bērnu, iesniedz bāriņtiesai attiecīgās valsts kompetentās bērnu tiesību aizsardzības iestādes atzinumu, kurā sniegts personas piemērotības izvērtējums atbilstoši Bērnu tiesību aizsardzības likuma 45.</w:t>
      </w:r>
      <w:r w:rsidRPr="00090CDE">
        <w:rPr>
          <w:sz w:val="28"/>
          <w:szCs w:val="28"/>
          <w:vertAlign w:val="superscript"/>
          <w:lang w:eastAsia="lv-LV"/>
        </w:rPr>
        <w:t>3</w:t>
      </w:r>
      <w:r w:rsidRPr="00090CDE">
        <w:rPr>
          <w:sz w:val="28"/>
          <w:szCs w:val="28"/>
          <w:lang w:eastAsia="lv-LV"/>
        </w:rPr>
        <w:t xml:space="preserve"> panta otrās un 2.</w:t>
      </w:r>
      <w:r w:rsidRPr="00090CDE">
        <w:rPr>
          <w:sz w:val="28"/>
          <w:szCs w:val="28"/>
          <w:vertAlign w:val="superscript"/>
          <w:lang w:eastAsia="lv-LV"/>
        </w:rPr>
        <w:t>1</w:t>
      </w:r>
      <w:r w:rsidRPr="00090CDE">
        <w:rPr>
          <w:sz w:val="28"/>
          <w:szCs w:val="28"/>
          <w:lang w:eastAsia="lv-LV"/>
        </w:rPr>
        <w:t xml:space="preserve"> daļas prasībām viesģimenes statusa piešķiršanai.</w:t>
      </w:r>
    </w:p>
    <w:p w:rsidR="00D17292" w:rsidRPr="00090CDE" w:rsidRDefault="00D17292" w:rsidP="00D17292">
      <w:pPr>
        <w:spacing w:after="0" w:line="240" w:lineRule="auto"/>
        <w:ind w:firstLine="720"/>
        <w:rPr>
          <w:sz w:val="28"/>
          <w:szCs w:val="28"/>
          <w:lang w:eastAsia="lv-LV"/>
        </w:rPr>
      </w:pPr>
      <w:r w:rsidRPr="00090CDE">
        <w:rPr>
          <w:sz w:val="28"/>
          <w:szCs w:val="28"/>
        </w:rPr>
        <w:t>Institūcija, rakstveidā vienojoties ar ģimeni, nosaka ārpusģimenes aprūpes iestādē ievietotā bērna uzturēšanās ilgumu citā ģimenē ārvalstī, pušu tiesības un pienākumus.</w:t>
      </w:r>
    </w:p>
    <w:p w:rsidR="00D17292" w:rsidRPr="00090CDE" w:rsidRDefault="00D17292" w:rsidP="00D17292">
      <w:pPr>
        <w:spacing w:after="0" w:line="240" w:lineRule="auto"/>
        <w:ind w:firstLine="720"/>
        <w:rPr>
          <w:sz w:val="28"/>
          <w:szCs w:val="28"/>
          <w:lang w:eastAsia="lv-LV"/>
        </w:rPr>
      </w:pPr>
      <w:r w:rsidRPr="00090CDE">
        <w:rPr>
          <w:sz w:val="28"/>
          <w:szCs w:val="28"/>
        </w:rPr>
        <w:t>Ja pēc bērna nodošanas citas personas aprūpē tiek konstatēts, ka šī persona bērnu pienācīgi neaprūpē, bāriņtiesa sadarbībā ar attiecīgās valsts kompetento bērnu tiesību aizsardzības iestādi nodrošina bērna atgriešanos aizbildņa, audžuģimenes vai institūcijas aprūpē.</w:t>
      </w:r>
    </w:p>
    <w:p w:rsidR="004638FA" w:rsidRPr="00090CDE" w:rsidRDefault="008B4A38" w:rsidP="004638FA">
      <w:pPr>
        <w:jc w:val="right"/>
        <w:rPr>
          <w:b/>
          <w:sz w:val="26"/>
          <w:szCs w:val="26"/>
        </w:rPr>
      </w:pPr>
      <w:r>
        <w:rPr>
          <w:b/>
          <w:sz w:val="26"/>
          <w:szCs w:val="26"/>
        </w:rPr>
        <w:t>31</w:t>
      </w:r>
      <w:r w:rsidR="004638FA" w:rsidRPr="00090CDE">
        <w:rPr>
          <w:b/>
          <w:sz w:val="26"/>
          <w:szCs w:val="26"/>
        </w:rPr>
        <w:t>.diagramma</w:t>
      </w:r>
    </w:p>
    <w:p w:rsidR="00E0019E" w:rsidRPr="00090CDE" w:rsidRDefault="004638FA" w:rsidP="00522414">
      <w:pPr>
        <w:ind w:firstLine="720"/>
        <w:rPr>
          <w:sz w:val="28"/>
          <w:szCs w:val="28"/>
        </w:rPr>
      </w:pPr>
      <w:r w:rsidRPr="00090CDE">
        <w:rPr>
          <w:noProof/>
          <w:lang w:val="en-GB" w:eastAsia="en-GB"/>
        </w:rPr>
        <w:drawing>
          <wp:inline distT="0" distB="0" distL="0" distR="0" wp14:anchorId="3DEB8068" wp14:editId="0EA9EF06">
            <wp:extent cx="5263515" cy="3307404"/>
            <wp:effectExtent l="0" t="0" r="13335" b="76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D17292" w:rsidRPr="00090CDE" w:rsidRDefault="00D17292" w:rsidP="00522414">
      <w:pPr>
        <w:spacing w:after="0"/>
        <w:ind w:firstLine="720"/>
        <w:rPr>
          <w:sz w:val="28"/>
          <w:szCs w:val="28"/>
        </w:rPr>
      </w:pPr>
      <w:r w:rsidRPr="00090CDE">
        <w:rPr>
          <w:sz w:val="28"/>
          <w:szCs w:val="28"/>
        </w:rPr>
        <w:lastRenderedPageBreak/>
        <w:t>Vadoties pēc bāriņtiesu s</w:t>
      </w:r>
      <w:r w:rsidR="004638FA" w:rsidRPr="00090CDE">
        <w:rPr>
          <w:sz w:val="28"/>
          <w:szCs w:val="28"/>
        </w:rPr>
        <w:t>niegtās informācijas pēdējo četru</w:t>
      </w:r>
      <w:r w:rsidRPr="00090CDE">
        <w:rPr>
          <w:sz w:val="28"/>
          <w:szCs w:val="28"/>
        </w:rPr>
        <w:t xml:space="preserve"> gadu periodā, secināms, ka visvairāk no ārpusģimenes aprūpē esošajiem bērniem, citas personas aprūpē ārvalstī tiek nodoti institūcijā ievietotie bērni, proti, no visiem ārpusģimenes aprū</w:t>
      </w:r>
      <w:r w:rsidR="004638FA" w:rsidRPr="00090CDE">
        <w:rPr>
          <w:sz w:val="28"/>
          <w:szCs w:val="28"/>
        </w:rPr>
        <w:t>pē esošajiem bērniem, proti, 324</w:t>
      </w:r>
      <w:r w:rsidRPr="00090CDE">
        <w:rPr>
          <w:sz w:val="28"/>
          <w:szCs w:val="28"/>
        </w:rPr>
        <w:t xml:space="preserve"> bēr</w:t>
      </w:r>
      <w:r w:rsidR="004638FA" w:rsidRPr="00090CDE">
        <w:rPr>
          <w:sz w:val="28"/>
          <w:szCs w:val="28"/>
        </w:rPr>
        <w:t>niem (par kuriem bāriņtiesa 2015</w:t>
      </w:r>
      <w:r w:rsidRPr="00090CDE">
        <w:rPr>
          <w:sz w:val="28"/>
          <w:szCs w:val="28"/>
        </w:rPr>
        <w:t xml:space="preserve">.gadā atzinusi, ka bērnu nodošana citas personas aprūpē ārvalstīs atbilst bērnu interesēm un personas </w:t>
      </w:r>
      <w:r w:rsidR="004638FA" w:rsidRPr="00090CDE">
        <w:rPr>
          <w:sz w:val="28"/>
          <w:szCs w:val="28"/>
        </w:rPr>
        <w:t>spēs bērnu pienācīgi aprūpēt) 62,7</w:t>
      </w:r>
      <w:r w:rsidRPr="00090CDE">
        <w:rPr>
          <w:sz w:val="28"/>
          <w:szCs w:val="28"/>
        </w:rPr>
        <w:t>% ir tieši bērni, kas atrodas institucionālajā aprūpē. Datu apk</w:t>
      </w:r>
      <w:r w:rsidR="001D115A" w:rsidRPr="00090CDE">
        <w:rPr>
          <w:sz w:val="28"/>
          <w:szCs w:val="28"/>
        </w:rPr>
        <w:t>opošanas rezul</w:t>
      </w:r>
      <w:r w:rsidR="002014FF">
        <w:rPr>
          <w:sz w:val="28"/>
          <w:szCs w:val="28"/>
        </w:rPr>
        <w:t xml:space="preserve">tātā secināts, ka, sākot ar 2014.gadu </w:t>
      </w:r>
      <w:r w:rsidR="001D115A" w:rsidRPr="00090CDE">
        <w:rPr>
          <w:sz w:val="28"/>
          <w:szCs w:val="28"/>
        </w:rPr>
        <w:t>nedaudz samazinās institūcijā ievietoto bērnu skaits, kas tiek nodoti citas personas aprūpē ārvalstī.</w:t>
      </w:r>
      <w:r w:rsidR="002014FF">
        <w:rPr>
          <w:sz w:val="28"/>
          <w:szCs w:val="28"/>
        </w:rPr>
        <w:t xml:space="preserve"> No 31</w:t>
      </w:r>
      <w:r w:rsidR="00E86DF3" w:rsidRPr="00090CDE">
        <w:rPr>
          <w:sz w:val="28"/>
          <w:szCs w:val="28"/>
        </w:rPr>
        <w:t>.diagrammā atspoguļotajiem statistikas rādītājiem par 2013.gadu redzams, ka 2013.gadā citas personas aprūpē ārvalstī nodoti 230 institūcijā esošie bērni, savukārt 2014.gadā</w:t>
      </w:r>
      <w:r w:rsidR="00826068" w:rsidRPr="00090CDE">
        <w:rPr>
          <w:sz w:val="28"/>
          <w:szCs w:val="28"/>
        </w:rPr>
        <w:t xml:space="preserve"> sniegti dati par</w:t>
      </w:r>
      <w:r w:rsidR="00E86DF3" w:rsidRPr="00090CDE">
        <w:rPr>
          <w:sz w:val="28"/>
          <w:szCs w:val="28"/>
        </w:rPr>
        <w:t xml:space="preserve"> 214 </w:t>
      </w:r>
      <w:r w:rsidR="002014FF">
        <w:rPr>
          <w:sz w:val="28"/>
          <w:szCs w:val="28"/>
        </w:rPr>
        <w:t xml:space="preserve">institūcijās esošiem </w:t>
      </w:r>
      <w:r w:rsidR="00E86DF3" w:rsidRPr="00090CDE">
        <w:rPr>
          <w:sz w:val="28"/>
          <w:szCs w:val="28"/>
        </w:rPr>
        <w:t>bērni</w:t>
      </w:r>
      <w:r w:rsidR="00826068" w:rsidRPr="00090CDE">
        <w:rPr>
          <w:sz w:val="28"/>
          <w:szCs w:val="28"/>
        </w:rPr>
        <w:t>em, kuri nodoti citas personas aprūpē ārvalstīs, proti, uzturējušies ārvalstīs ģimenēs viesprogrammu ietvaros</w:t>
      </w:r>
      <w:r w:rsidR="00E86DF3" w:rsidRPr="00090CDE">
        <w:rPr>
          <w:sz w:val="28"/>
          <w:szCs w:val="28"/>
        </w:rPr>
        <w:t>. Konstatēts, ka, salīdzinot ar iepriekšējo gadu, 2015.gadā c</w:t>
      </w:r>
      <w:r w:rsidR="00826068" w:rsidRPr="00090CDE">
        <w:rPr>
          <w:sz w:val="28"/>
          <w:szCs w:val="28"/>
        </w:rPr>
        <w:t>itas personas aprūpē ārvalstīs nodoti 203</w:t>
      </w:r>
      <w:r w:rsidR="002014FF">
        <w:rPr>
          <w:sz w:val="28"/>
          <w:szCs w:val="28"/>
        </w:rPr>
        <w:t xml:space="preserve"> institūcijās esošie</w:t>
      </w:r>
      <w:r w:rsidR="00826068" w:rsidRPr="00090CDE">
        <w:rPr>
          <w:sz w:val="28"/>
          <w:szCs w:val="28"/>
        </w:rPr>
        <w:t xml:space="preserve"> bērni</w:t>
      </w:r>
      <w:r w:rsidR="001656CD" w:rsidRPr="00090CDE">
        <w:rPr>
          <w:sz w:val="28"/>
          <w:szCs w:val="28"/>
        </w:rPr>
        <w:t xml:space="preserve">, t.i. par 11 bērniem mazāk nekā 2014.gadā. </w:t>
      </w:r>
      <w:r w:rsidRPr="00090CDE">
        <w:rPr>
          <w:sz w:val="28"/>
          <w:szCs w:val="28"/>
        </w:rPr>
        <w:t>Šāda ciemošanās ārvalstu ģimenē sniedz iespēju bērniem iepazīt citu valstu kultūru, apgūt svešvalodu, iepazīties ar ģimenes tradīcijām, kā arī apgūt sociālās prasmes un gūt citu pieredzi, kas ir nozīmīga bērna attīstībā. Vienlaikus konstatēts, ka 2014.gadā nedaudz pieaudzis audžuģimenēs esošo bērnu skaits, kas nodoti citas personas aprūpē ārvalstī, proti, 2012.gadā bāriņtiesas sniegušas ziņas par 94 audžuģimenēs esošiem bērniem, kuri nodoti citas personas aprūpē ārvalstī, līdzīgi 2013.gadā sniegtas ziņas par 96 bērniem. Savukārt 2014.gadā bāriņtiesa savu pilnvaru ietvaros pieņēmusi lēmumu attiecībā uz 116 audžuģimenē esošiem bērniem.</w:t>
      </w:r>
      <w:r w:rsidR="00B437BE" w:rsidRPr="00090CDE">
        <w:rPr>
          <w:sz w:val="28"/>
          <w:szCs w:val="28"/>
        </w:rPr>
        <w:t xml:space="preserve"> Savukārt 2015.gadā konstatējams neliels audžuģimenēs esošo bērnu skaits, kas nodoti citas personas aprūpē ārvalstī, samazinājums, proti, dati sniegti par 106 bērniem. </w:t>
      </w:r>
    </w:p>
    <w:p w:rsidR="00FF7227" w:rsidRPr="00090CDE" w:rsidRDefault="00D17292" w:rsidP="002D2D6B">
      <w:pPr>
        <w:spacing w:after="0"/>
        <w:ind w:firstLine="720"/>
        <w:rPr>
          <w:sz w:val="28"/>
          <w:szCs w:val="28"/>
        </w:rPr>
      </w:pPr>
      <w:r w:rsidRPr="00090CDE">
        <w:rPr>
          <w:sz w:val="28"/>
          <w:szCs w:val="28"/>
        </w:rPr>
        <w:t>Salīdzinājumā ar bērniem, kuri atrodas audžuģimenes aprūpē vai uzturas institūcijās, visai neliels skaits aizbildnībā esošo bērnu ik gadu tiek nodoti citas personas aprūpē ārvalstīs</w:t>
      </w:r>
      <w:r w:rsidR="00B437BE" w:rsidRPr="00090CDE">
        <w:rPr>
          <w:sz w:val="28"/>
          <w:szCs w:val="28"/>
        </w:rPr>
        <w:t xml:space="preserve">. Noskaidrots, ka </w:t>
      </w:r>
      <w:r w:rsidRPr="00090CDE">
        <w:rPr>
          <w:sz w:val="28"/>
          <w:szCs w:val="28"/>
        </w:rPr>
        <w:t xml:space="preserve">2012.gadā bāriņtiesas sniegušas ziņas par 6 bērniem, 2013.gadā- par 11 bērniem, </w:t>
      </w:r>
      <w:r w:rsidR="00B437BE" w:rsidRPr="00090CDE">
        <w:rPr>
          <w:sz w:val="28"/>
          <w:szCs w:val="28"/>
        </w:rPr>
        <w:t xml:space="preserve">2014.gadā- par 22 bērniem, </w:t>
      </w:r>
      <w:r w:rsidRPr="00090CDE">
        <w:rPr>
          <w:sz w:val="28"/>
          <w:szCs w:val="28"/>
        </w:rPr>
        <w:t>savuk</w:t>
      </w:r>
      <w:r w:rsidR="00B437BE" w:rsidRPr="00090CDE">
        <w:rPr>
          <w:sz w:val="28"/>
          <w:szCs w:val="28"/>
        </w:rPr>
        <w:t>ārt 2015.gadā sniegtas ziņas par 15</w:t>
      </w:r>
      <w:r w:rsidRPr="00090CDE">
        <w:rPr>
          <w:sz w:val="28"/>
          <w:szCs w:val="28"/>
        </w:rPr>
        <w:t xml:space="preserve"> aizbildnībā esošiem bērniem, kas nodoti citas personas aprūpē ārval</w:t>
      </w:r>
      <w:r w:rsidR="002D2D6B" w:rsidRPr="00090CDE">
        <w:rPr>
          <w:sz w:val="28"/>
          <w:szCs w:val="28"/>
        </w:rPr>
        <w:t>stīs uz konkrētu laika periodu.</w:t>
      </w:r>
    </w:p>
    <w:p w:rsidR="00FF7227" w:rsidRPr="00090CDE" w:rsidRDefault="00FF7227" w:rsidP="00506D9B">
      <w:pPr>
        <w:tabs>
          <w:tab w:val="left" w:pos="426"/>
        </w:tabs>
        <w:spacing w:after="0" w:line="240" w:lineRule="auto"/>
        <w:rPr>
          <w:sz w:val="16"/>
          <w:szCs w:val="16"/>
        </w:rPr>
      </w:pPr>
    </w:p>
    <w:p w:rsidR="006A7C10" w:rsidRPr="00090CDE" w:rsidRDefault="008E2FCB" w:rsidP="00B72246">
      <w:pPr>
        <w:pStyle w:val="Heading1"/>
        <w:rPr>
          <w:sz w:val="32"/>
        </w:rPr>
      </w:pPr>
      <w:bookmarkStart w:id="31" w:name="_Toc455139005"/>
      <w:r w:rsidRPr="00090CDE">
        <w:rPr>
          <w:sz w:val="32"/>
        </w:rPr>
        <w:t>8</w:t>
      </w:r>
      <w:r w:rsidR="00B72246" w:rsidRPr="00090CDE">
        <w:rPr>
          <w:sz w:val="32"/>
        </w:rPr>
        <w:t>.</w:t>
      </w:r>
      <w:r w:rsidR="003D55CF" w:rsidRPr="00090CDE">
        <w:rPr>
          <w:sz w:val="32"/>
        </w:rPr>
        <w:t>Pārskats par aizgādnības lietām</w:t>
      </w:r>
      <w:bookmarkEnd w:id="31"/>
    </w:p>
    <w:p w:rsidR="00A74C1D" w:rsidRPr="00090CDE" w:rsidRDefault="00A74C1D" w:rsidP="00F42703">
      <w:pPr>
        <w:rPr>
          <w:sz w:val="10"/>
          <w:szCs w:val="10"/>
        </w:rPr>
      </w:pPr>
    </w:p>
    <w:p w:rsidR="00707802" w:rsidRPr="00090CDE" w:rsidRDefault="002802FF" w:rsidP="00707802">
      <w:pPr>
        <w:spacing w:after="0" w:line="240" w:lineRule="auto"/>
        <w:ind w:firstLine="720"/>
        <w:rPr>
          <w:sz w:val="28"/>
          <w:szCs w:val="28"/>
        </w:rPr>
      </w:pPr>
      <w:r w:rsidRPr="00090CDE">
        <w:rPr>
          <w:sz w:val="28"/>
          <w:szCs w:val="28"/>
        </w:rPr>
        <w:t>Spēkā esošais tiesiskais regulējums nosaka ierobežot</w:t>
      </w:r>
      <w:r w:rsidR="00F81182" w:rsidRPr="00090CDE">
        <w:rPr>
          <w:sz w:val="28"/>
          <w:szCs w:val="28"/>
        </w:rPr>
        <w:t xml:space="preserve">ās </w:t>
      </w:r>
      <w:r w:rsidRPr="00090CDE">
        <w:rPr>
          <w:sz w:val="28"/>
          <w:szCs w:val="28"/>
        </w:rPr>
        <w:t xml:space="preserve">rīcībspējas institūtu, kas </w:t>
      </w:r>
      <w:r w:rsidR="00F81182" w:rsidRPr="00090CDE">
        <w:rPr>
          <w:sz w:val="28"/>
          <w:szCs w:val="28"/>
        </w:rPr>
        <w:t>paredz daļējo rīcībspēju un kopēja lēmumu pieņemšanu, kurā personas rīcībspēja tiek ierobežota jomās, kurās persona nespēj saprast savas darbības un vadīt tās, un jomas, kurās lēmumus pieņem perona kopā ar aizgādni.</w:t>
      </w:r>
      <w:r w:rsidR="00762DEC" w:rsidRPr="00090CDE">
        <w:rPr>
          <w:sz w:val="28"/>
          <w:szCs w:val="28"/>
        </w:rPr>
        <w:t xml:space="preserve"> Rīcībspējas ierobežojums ne</w:t>
      </w:r>
      <w:r w:rsidR="00A92F39" w:rsidRPr="00090CDE">
        <w:rPr>
          <w:sz w:val="28"/>
          <w:szCs w:val="28"/>
        </w:rPr>
        <w:t>s</w:t>
      </w:r>
      <w:r w:rsidR="00762DEC" w:rsidRPr="00090CDE">
        <w:rPr>
          <w:sz w:val="28"/>
          <w:szCs w:val="28"/>
        </w:rPr>
        <w:t xml:space="preserve">kar Civillikumā ietvertās personiskās tiesības (piemēram, tiesības </w:t>
      </w:r>
      <w:r w:rsidR="00A92F39" w:rsidRPr="00090CDE">
        <w:rPr>
          <w:sz w:val="28"/>
          <w:szCs w:val="28"/>
        </w:rPr>
        <w:t>laulāties, adoptēt, atzīt paternitāti</w:t>
      </w:r>
      <w:r w:rsidR="00762DEC" w:rsidRPr="00090CDE">
        <w:rPr>
          <w:sz w:val="28"/>
          <w:szCs w:val="28"/>
        </w:rPr>
        <w:t>).</w:t>
      </w:r>
    </w:p>
    <w:p w:rsidR="00707802" w:rsidRPr="00090CDE" w:rsidRDefault="00707802" w:rsidP="00775C65">
      <w:pPr>
        <w:spacing w:after="0" w:line="240" w:lineRule="auto"/>
        <w:ind w:firstLine="720"/>
        <w:rPr>
          <w:sz w:val="28"/>
          <w:szCs w:val="28"/>
        </w:rPr>
      </w:pPr>
      <w:r w:rsidRPr="00090CDE">
        <w:rPr>
          <w:sz w:val="28"/>
          <w:szCs w:val="28"/>
        </w:rPr>
        <w:lastRenderedPageBreak/>
        <w:t>Atbilstoši Civilprocesa pārejas noteikumu 62.punktā noteiktajam secināms, ka aizgādnim ir pienākums par personu, kuru tiesa līdz 2011.gada 31.decembrim atzinusi par rīcībnespējīgu gara slimības vai plānprātības dēļ, iesniegt tiesā pieteikumu par rīcībspējas ierobežojuma pārskatīšanu līdz 01.01.2017., ja pieteikums par rīcībspējas ierobežojuma pārskatīšanu nav iesniegts tiesā vai attiecībā uz to nav stājies spēkā spriedums. Ja pēc 01.01.2017. tiesā nav iesniegts pieteikums par personas rīcībspējas ierobežojuma pārskatīšanu vai attiecībā uz to nav stājies spēkā spriedums, bāriņtiesai gada laikā no iepriekš minētā aizgādnim uzliktā pienākuma termiņa notecējuma jāinformē prokuratūru par tādām rīcībnespējīgām personām, kurām nepieciešams pārskatīt rīcībspējas ierobežojumu.</w:t>
      </w:r>
    </w:p>
    <w:p w:rsidR="001A54B8" w:rsidRPr="00090CDE" w:rsidRDefault="00473BEF" w:rsidP="001369E3">
      <w:pPr>
        <w:spacing w:after="0" w:line="240" w:lineRule="auto"/>
        <w:ind w:firstLine="720"/>
        <w:rPr>
          <w:sz w:val="28"/>
          <w:szCs w:val="28"/>
          <w:u w:val="single"/>
        </w:rPr>
      </w:pPr>
      <w:r w:rsidRPr="00090CDE">
        <w:rPr>
          <w:sz w:val="28"/>
          <w:szCs w:val="28"/>
        </w:rPr>
        <w:t>Pilngadīgai personai rīcībspēja var tikt ierobežota Civillikum</w:t>
      </w:r>
      <w:r w:rsidR="00AA7E39" w:rsidRPr="00090CDE">
        <w:rPr>
          <w:sz w:val="28"/>
          <w:szCs w:val="28"/>
        </w:rPr>
        <w:t>ā</w:t>
      </w:r>
      <w:r w:rsidRPr="00090CDE">
        <w:rPr>
          <w:sz w:val="28"/>
          <w:szCs w:val="28"/>
        </w:rPr>
        <w:t xml:space="preserve"> noteiktajos gadījumos (personas veselības traucējumu, izlaidīgas vai izšķērdīgas dzīves, kā ar</w:t>
      </w:r>
      <w:r w:rsidR="00F42703" w:rsidRPr="00090CDE">
        <w:rPr>
          <w:sz w:val="28"/>
          <w:szCs w:val="28"/>
        </w:rPr>
        <w:t>ī apreibinošu vielu pārmērīgas</w:t>
      </w:r>
      <w:r w:rsidRPr="00090CDE">
        <w:rPr>
          <w:sz w:val="28"/>
          <w:szCs w:val="28"/>
        </w:rPr>
        <w:t xml:space="preserve"> lietošanas dēļ). Tāpat, neierobežojot personas rīcībspēju, pār personu noteiktos gadījumos var tikt nodibināta pagaidu aizgādnība, ja nepieciešams veikt pasākumus pe</w:t>
      </w:r>
      <w:r w:rsidR="00F42703" w:rsidRPr="00090CDE">
        <w:rPr>
          <w:sz w:val="28"/>
          <w:szCs w:val="28"/>
        </w:rPr>
        <w:t>rsonas interešu aizsardzībai (Civillikuma 355.</w:t>
      </w:r>
      <w:r w:rsidR="00F42703" w:rsidRPr="00090CDE">
        <w:rPr>
          <w:b/>
          <w:sz w:val="28"/>
          <w:szCs w:val="28"/>
        </w:rPr>
        <w:t>-</w:t>
      </w:r>
      <w:r w:rsidR="00576229" w:rsidRPr="00090CDE">
        <w:rPr>
          <w:sz w:val="28"/>
          <w:szCs w:val="28"/>
        </w:rPr>
        <w:t>369.pants</w:t>
      </w:r>
      <w:r w:rsidR="00F95DBB" w:rsidRPr="00090CDE">
        <w:rPr>
          <w:sz w:val="28"/>
          <w:szCs w:val="28"/>
        </w:rPr>
        <w:t>.</w:t>
      </w:r>
      <w:r w:rsidR="004B351E" w:rsidRPr="00090CDE">
        <w:rPr>
          <w:sz w:val="28"/>
          <w:szCs w:val="28"/>
        </w:rPr>
        <w:t>)</w:t>
      </w:r>
      <w:r w:rsidRPr="00090CDE">
        <w:rPr>
          <w:sz w:val="28"/>
          <w:szCs w:val="28"/>
        </w:rPr>
        <w:t xml:space="preserve"> </w:t>
      </w:r>
    </w:p>
    <w:p w:rsidR="00EC03F9" w:rsidRPr="00090CDE" w:rsidRDefault="0033498B" w:rsidP="00B3027F">
      <w:pPr>
        <w:spacing w:after="0" w:line="240" w:lineRule="auto"/>
        <w:ind w:firstLine="720"/>
        <w:rPr>
          <w:sz w:val="28"/>
          <w:szCs w:val="28"/>
        </w:rPr>
      </w:pPr>
      <w:r w:rsidRPr="00090CDE">
        <w:rPr>
          <w:sz w:val="28"/>
          <w:szCs w:val="28"/>
        </w:rPr>
        <w:t>Civi</w:t>
      </w:r>
      <w:r w:rsidR="00E8599E" w:rsidRPr="00090CDE">
        <w:rPr>
          <w:sz w:val="28"/>
          <w:szCs w:val="28"/>
        </w:rPr>
        <w:t xml:space="preserve">llikumā </w:t>
      </w:r>
      <w:r w:rsidRPr="00090CDE">
        <w:rPr>
          <w:sz w:val="28"/>
          <w:szCs w:val="28"/>
        </w:rPr>
        <w:t>noteikts, ka personas, kurai ir garīga rakstura vai citi veselības traucējumi rīcībspēju var ierobežot, ja tas nepieciešams šīs personas interesēs un ir vienīgais veids, kā tās aizsargāt. Šādā gadījumā personai nodibināma aizgādnība. Savukārt minētā likuma 355.pantā noteikts, ka aizgādņus pār pilngadīgajiem pēc tiesas sprieduma ieceļ attiecīgā bāriņtiesa [..].</w:t>
      </w:r>
      <w:r w:rsidR="00E8599E" w:rsidRPr="00090CDE">
        <w:rPr>
          <w:sz w:val="28"/>
          <w:szCs w:val="28"/>
        </w:rPr>
        <w:t xml:space="preserve"> </w:t>
      </w:r>
    </w:p>
    <w:p w:rsidR="00EC03F9" w:rsidRPr="00090CDE" w:rsidRDefault="00EC03F9" w:rsidP="00B3027F">
      <w:pPr>
        <w:spacing w:after="0" w:line="240" w:lineRule="auto"/>
        <w:ind w:firstLine="720"/>
        <w:rPr>
          <w:sz w:val="28"/>
          <w:szCs w:val="28"/>
        </w:rPr>
      </w:pPr>
      <w:r w:rsidRPr="00090CDE">
        <w:rPr>
          <w:sz w:val="28"/>
          <w:szCs w:val="28"/>
        </w:rPr>
        <w:t>Bāriņtiesu likuma 40.panta pirmajā daļā noteikts, ka bāriņtiesa saskaņā ar tiesas nolēmumu par aizgādnības nodibināšanu ieceļ aizgādni:</w:t>
      </w:r>
    </w:p>
    <w:p w:rsidR="00EC03F9" w:rsidRPr="00090CDE" w:rsidRDefault="00EC03F9" w:rsidP="00EC03F9">
      <w:pPr>
        <w:pStyle w:val="ListParagraph"/>
        <w:numPr>
          <w:ilvl w:val="0"/>
          <w:numId w:val="19"/>
        </w:numPr>
        <w:spacing w:after="0" w:line="240" w:lineRule="auto"/>
        <w:rPr>
          <w:sz w:val="22"/>
        </w:rPr>
      </w:pPr>
      <w:r w:rsidRPr="00090CDE">
        <w:rPr>
          <w:sz w:val="22"/>
        </w:rPr>
        <w:t>personai ar garīga rakstura vai citiem veselības traucējumiem, kurai rīcībspēju ierobežojusi tiesa:</w:t>
      </w:r>
    </w:p>
    <w:p w:rsidR="00EC03F9" w:rsidRPr="00090CDE" w:rsidRDefault="00EC03F9" w:rsidP="00EC03F9">
      <w:pPr>
        <w:pStyle w:val="ListParagraph"/>
        <w:numPr>
          <w:ilvl w:val="0"/>
          <w:numId w:val="19"/>
        </w:numPr>
        <w:spacing w:after="0" w:line="240" w:lineRule="auto"/>
        <w:rPr>
          <w:sz w:val="22"/>
        </w:rPr>
      </w:pPr>
      <w:r w:rsidRPr="00090CDE">
        <w:rPr>
          <w:sz w:val="22"/>
        </w:rPr>
        <w:t>personai, kurai tiesa nodibinājusi pagaidu aizgādnību;</w:t>
      </w:r>
    </w:p>
    <w:p w:rsidR="00EC03F9" w:rsidRPr="00090CDE" w:rsidRDefault="00EC03F9" w:rsidP="00EC03F9">
      <w:pPr>
        <w:pStyle w:val="ListParagraph"/>
        <w:numPr>
          <w:ilvl w:val="0"/>
          <w:numId w:val="19"/>
        </w:numPr>
        <w:spacing w:after="0" w:line="240" w:lineRule="auto"/>
        <w:rPr>
          <w:sz w:val="22"/>
        </w:rPr>
      </w:pPr>
      <w:r w:rsidRPr="00090CDE">
        <w:rPr>
          <w:sz w:val="22"/>
        </w:rPr>
        <w:t>personai, kurai rīcībspēju tiesa ierobežojusi izlaidīgas vai izšķērdīgas dzīves dēļ, kā arī alkohola vai citu apreibinošo vielu pārmērīgas lietošanas dēļ;</w:t>
      </w:r>
    </w:p>
    <w:p w:rsidR="00EC03F9" w:rsidRPr="00090CDE" w:rsidRDefault="00EC03F9" w:rsidP="00EC03F9">
      <w:pPr>
        <w:pStyle w:val="ListParagraph"/>
        <w:numPr>
          <w:ilvl w:val="0"/>
          <w:numId w:val="19"/>
        </w:numPr>
        <w:spacing w:after="0" w:line="240" w:lineRule="auto"/>
        <w:rPr>
          <w:sz w:val="22"/>
        </w:rPr>
      </w:pPr>
      <w:r w:rsidRPr="00090CDE">
        <w:rPr>
          <w:sz w:val="22"/>
        </w:rPr>
        <w:t>promesošās vai pazudušas personas mantai.</w:t>
      </w:r>
    </w:p>
    <w:p w:rsidR="00EC03F9" w:rsidRPr="00090CDE" w:rsidRDefault="00EC03F9" w:rsidP="00EC03F9">
      <w:pPr>
        <w:spacing w:after="0" w:line="240" w:lineRule="auto"/>
        <w:rPr>
          <w:sz w:val="10"/>
          <w:szCs w:val="10"/>
        </w:rPr>
      </w:pPr>
    </w:p>
    <w:p w:rsidR="00EC0D3E" w:rsidRPr="00090CDE" w:rsidRDefault="00EC0D3E" w:rsidP="00EC0D3E">
      <w:pPr>
        <w:spacing w:after="0" w:line="240" w:lineRule="auto"/>
        <w:ind w:firstLine="720"/>
        <w:rPr>
          <w:sz w:val="28"/>
          <w:szCs w:val="28"/>
        </w:rPr>
      </w:pPr>
      <w:r w:rsidRPr="00090CDE">
        <w:rPr>
          <w:sz w:val="28"/>
          <w:szCs w:val="28"/>
        </w:rPr>
        <w:t>Atbilstoši Bāriņtiesu likumā noteiktajam bāriņtiesa saskaņā ar notāra taisīto notariālo aktu par aizgādnības nodibināšanu mantojumam ieceļ aizgādni mantojumam.</w:t>
      </w:r>
    </w:p>
    <w:p w:rsidR="00B3027F" w:rsidRPr="00090CDE" w:rsidRDefault="00E8599E" w:rsidP="00B3027F">
      <w:pPr>
        <w:spacing w:after="0" w:line="240" w:lineRule="auto"/>
        <w:ind w:firstLine="720"/>
        <w:rPr>
          <w:sz w:val="28"/>
          <w:szCs w:val="28"/>
        </w:rPr>
      </w:pPr>
      <w:r w:rsidRPr="00090CDE">
        <w:rPr>
          <w:sz w:val="28"/>
          <w:szCs w:val="28"/>
        </w:rPr>
        <w:t>Atbilstoši Civilprocesa 268.panta regulējumam, ja tiesa uz pierādījumu pamata konstatē, ka personas rīcībspēja ir ierobežojama, tā taisa spriedumu, kurā norāda rīcībspējas ierobežojuma apjomu un ar kuru nodibina personai aizgādnību. Tiesa, izvērtējot personas spējas, nosaka, vai un kādā apjomā aizgādnis ar aizgādnībā esošo rīkojas kopā, un tikai pēc tam apjomu, kādā ai</w:t>
      </w:r>
      <w:r w:rsidR="00B3027F" w:rsidRPr="00090CDE">
        <w:rPr>
          <w:sz w:val="28"/>
          <w:szCs w:val="28"/>
        </w:rPr>
        <w:t>zgādnis rīkosies patstāvīgi.</w:t>
      </w:r>
    </w:p>
    <w:p w:rsidR="00153315" w:rsidRPr="00090CDE" w:rsidRDefault="00153315" w:rsidP="00775C65">
      <w:pPr>
        <w:pStyle w:val="tv2132"/>
        <w:spacing w:line="240" w:lineRule="auto"/>
        <w:ind w:firstLine="720"/>
        <w:jc w:val="both"/>
        <w:rPr>
          <w:color w:val="auto"/>
          <w:sz w:val="28"/>
          <w:szCs w:val="28"/>
        </w:rPr>
      </w:pPr>
      <w:r w:rsidRPr="00090CDE">
        <w:rPr>
          <w:color w:val="auto"/>
          <w:sz w:val="28"/>
          <w:szCs w:val="28"/>
        </w:rPr>
        <w:t>Atbilstoši Civilprocesa likuma 270.</w:t>
      </w:r>
      <w:r w:rsidRPr="00090CDE">
        <w:rPr>
          <w:color w:val="auto"/>
          <w:sz w:val="28"/>
          <w:szCs w:val="28"/>
          <w:vertAlign w:val="superscript"/>
        </w:rPr>
        <w:t>6</w:t>
      </w:r>
      <w:r w:rsidRPr="00090CDE">
        <w:rPr>
          <w:color w:val="auto"/>
          <w:sz w:val="28"/>
          <w:szCs w:val="28"/>
        </w:rPr>
        <w:t xml:space="preserve"> panta trešajā daļā noteiktajam, pēc tiesas sprieduma stāšanās likumīgā spēkā tiesa tā norakstu nosūta bāriņtiesai — aizgādņa tiesību un pienākumu apjoma grozīšanai. Bāriņtiesu likuma 40.pantā noteikts, ka bāriņtiesa saskaņā ar tiesas nolēmumu par aizgādnības nodibināšanu ieceļ aizgādni personai ar garīga rakstura vai citiem veselības traucējumiem, kurai rīcībspēju ierobežojusi tiesa.</w:t>
      </w:r>
      <w:r w:rsidR="00775C65" w:rsidRPr="00090CDE">
        <w:rPr>
          <w:color w:val="auto"/>
          <w:sz w:val="28"/>
          <w:szCs w:val="28"/>
        </w:rPr>
        <w:t xml:space="preserve"> Ieceļot personai aizgādni, bāriņtiesa saskaņā ar tiesas nolēmumu savā lēmumā norāda, kādā apjomā aizgādnis rīkojas kopā ar aizgādnībā esošo personu un kādā patstāvīgi šīs personas vietā, kā arī lēmuma darbības termiņu, ja tāds ir noteikts tiesas nolēmumā. </w:t>
      </w:r>
    </w:p>
    <w:p w:rsidR="00DB6BDD" w:rsidRPr="00090CDE" w:rsidRDefault="00DB799E" w:rsidP="00B3027F">
      <w:pPr>
        <w:spacing w:after="0" w:line="240" w:lineRule="auto"/>
        <w:ind w:firstLine="720"/>
        <w:rPr>
          <w:sz w:val="28"/>
          <w:szCs w:val="28"/>
        </w:rPr>
      </w:pPr>
      <w:r w:rsidRPr="00090CDE">
        <w:rPr>
          <w:sz w:val="28"/>
          <w:szCs w:val="28"/>
        </w:rPr>
        <w:lastRenderedPageBreak/>
        <w:t>No minētajām tiesību normām izriet, ka gadījumos, kad tiesa atzīst, ka personas rīcībspēja ir ierobežojama un personai nodibināma aizgādnība, tā vienlaikus uzliek par pienākumu attiecīgajai bāriņtiesai iecelt šai personai aizgādni (vai vairākus aizgādņus), kam uzdod rīkoties tiesas noteiktajā apjomā.</w:t>
      </w:r>
    </w:p>
    <w:p w:rsidR="00197886" w:rsidRPr="00090CDE" w:rsidRDefault="00775C65" w:rsidP="00775C65">
      <w:pPr>
        <w:ind w:firstLine="720"/>
        <w:rPr>
          <w:sz w:val="28"/>
          <w:szCs w:val="28"/>
        </w:rPr>
      </w:pPr>
      <w:r w:rsidRPr="00090CDE">
        <w:rPr>
          <w:sz w:val="28"/>
          <w:szCs w:val="28"/>
        </w:rPr>
        <w:t xml:space="preserve">Gadījumā, ja persona, kura līdz šim pildījusi aizgādņa pienākumus, izteikusi vēlmi turpināt aizgādņa pienākumu pildīšanu, kā arī aizgādnībā esošā persona paudusi piekrišanu minētajam, bāriņtiesai, lemjot par aizgādņa iecelšanu, jāsniedz vērtējums līdzšinējai aizgādņa darbībai. Tādējādi gūstot pārliecību, ka konkrētā persona atbilst aizgādņa pienākumu pildīšanai un ir pamatots viedoklis, ka tā  nodrošinās aizgādnībā esošās personas labāko interešu īstenošanu. Gadījumā, ja līdzšinējais aizgādnis norāda, ka nevēlas turpināt aizgādņa pienākumu pildīšanu vai bāriņtiesa konstatējusi citus būtiskus apstākļus, kas liecina, ka minētā persona, nav atbilstoša aizgādņa tiesību un pienākumu pildīšanai, bāriņtiesai nepieciešams veikt darbības jauna aizgādņa meklēšanai, vērtēšanai un iecelšanai. </w:t>
      </w:r>
    </w:p>
    <w:p w:rsidR="00707802" w:rsidRPr="00090CDE" w:rsidRDefault="00DB6BDD" w:rsidP="00775C65">
      <w:pPr>
        <w:ind w:firstLine="720"/>
        <w:rPr>
          <w:sz w:val="28"/>
          <w:szCs w:val="28"/>
        </w:rPr>
      </w:pPr>
      <w:r w:rsidRPr="00090CDE">
        <w:rPr>
          <w:sz w:val="28"/>
          <w:szCs w:val="28"/>
        </w:rPr>
        <w:t>Saskaņā ar Civillikuma 364.</w:t>
      </w:r>
      <w:r w:rsidRPr="00090CDE">
        <w:rPr>
          <w:sz w:val="28"/>
          <w:szCs w:val="28"/>
          <w:vertAlign w:val="superscript"/>
        </w:rPr>
        <w:t>1</w:t>
      </w:r>
      <w:r w:rsidR="00DB799E" w:rsidRPr="00090CDE">
        <w:rPr>
          <w:sz w:val="28"/>
          <w:szCs w:val="28"/>
        </w:rPr>
        <w:t xml:space="preserve"> </w:t>
      </w:r>
      <w:r w:rsidR="00FE5722" w:rsidRPr="00090CDE">
        <w:rPr>
          <w:sz w:val="28"/>
          <w:szCs w:val="28"/>
        </w:rPr>
        <w:t xml:space="preserve">pantā noteikto personai noteikto rīcībspējas ierobežojumu pārskata Civilprocesa likumā noteiktajā kārtībā. Tiesas spriedums par rīcībspējas ierobežojumu ir spēkā līdz brīdim, kad tiek pieņemts cits tiesas nolēmums šajā jautājumā. Tiesas spriedumu par rīcībspējas ierobežojumu var pārskatīt jebkurā brīdī, bet ne retāk kā reizi septiņos gados no tā spēkā stāšanās dienas. </w:t>
      </w:r>
    </w:p>
    <w:p w:rsidR="00B3027F" w:rsidRPr="00090CDE" w:rsidRDefault="00B3027F" w:rsidP="00B3027F">
      <w:pPr>
        <w:spacing w:after="0" w:line="240" w:lineRule="auto"/>
        <w:ind w:firstLine="720"/>
        <w:rPr>
          <w:sz w:val="16"/>
          <w:szCs w:val="16"/>
        </w:rPr>
      </w:pPr>
    </w:p>
    <w:p w:rsidR="005A1BC6" w:rsidRPr="00090CDE" w:rsidRDefault="008E2FCB" w:rsidP="00B72246">
      <w:pPr>
        <w:pStyle w:val="Heading2"/>
      </w:pPr>
      <w:bookmarkStart w:id="32" w:name="_Toc455139006"/>
      <w:r w:rsidRPr="00090CDE">
        <w:t>8</w:t>
      </w:r>
      <w:r w:rsidR="00B72246" w:rsidRPr="00090CDE">
        <w:t>.1.Aizgādnībā esošo personu un aizgādņu kopējais skaits</w:t>
      </w:r>
      <w:bookmarkEnd w:id="32"/>
    </w:p>
    <w:p w:rsidR="00E8599E" w:rsidRPr="00090CDE" w:rsidRDefault="00E8599E" w:rsidP="00E8599E">
      <w:pPr>
        <w:rPr>
          <w:b/>
          <w:sz w:val="10"/>
          <w:szCs w:val="10"/>
        </w:rPr>
      </w:pPr>
    </w:p>
    <w:p w:rsidR="00BB016D" w:rsidRDefault="00E1385F" w:rsidP="00D36DAE">
      <w:pPr>
        <w:ind w:firstLine="720"/>
        <w:rPr>
          <w:sz w:val="28"/>
          <w:szCs w:val="28"/>
        </w:rPr>
      </w:pPr>
      <w:r w:rsidRPr="00090CDE">
        <w:rPr>
          <w:sz w:val="28"/>
          <w:szCs w:val="28"/>
        </w:rPr>
        <w:t>Attiecībā uz aizgādņa iecelšanu Civillikuma 355.pantā noteikts, ka bāriņtiesa par aizgādni var iecelt personas izraudzīto aizgādni, aizgādnībā nododamā laulāto vai kādu no tuvākajiem radiniekiem [..]. Turklāt minētā likuma pantā paredzēts arī bāriņtiesas pienākums noskaidrot personas viedokli par ieceļamo aizgādni, ja vien šī persona spēj to formulēt.</w:t>
      </w:r>
      <w:r w:rsidR="00442F13" w:rsidRPr="00090CDE">
        <w:rPr>
          <w:sz w:val="28"/>
          <w:szCs w:val="28"/>
        </w:rPr>
        <w:t xml:space="preserve"> Aizgādnībā esošās personas viedoklis jāņem vērā, ja vien tas neapdraud pašas personas labklājību, veselību, dzīvību vai citas intereses. </w:t>
      </w:r>
      <w:r w:rsidR="004D714B" w:rsidRPr="00090CDE">
        <w:rPr>
          <w:sz w:val="28"/>
          <w:szCs w:val="28"/>
        </w:rPr>
        <w:t>I</w:t>
      </w:r>
      <w:r w:rsidRPr="00090CDE">
        <w:rPr>
          <w:sz w:val="28"/>
          <w:szCs w:val="28"/>
        </w:rPr>
        <w:t>evērojot minēto, visupirms attiecīgajai b</w:t>
      </w:r>
      <w:r w:rsidR="004D714B" w:rsidRPr="00090CDE">
        <w:rPr>
          <w:sz w:val="28"/>
          <w:szCs w:val="28"/>
        </w:rPr>
        <w:t>āriņtiesai</w:t>
      </w:r>
      <w:r w:rsidRPr="00090CDE">
        <w:rPr>
          <w:sz w:val="28"/>
          <w:szCs w:val="28"/>
        </w:rPr>
        <w:t xml:space="preserve"> jāuzklausa personas viedoklis, </w:t>
      </w:r>
      <w:r w:rsidR="004D714B" w:rsidRPr="00090CDE">
        <w:rPr>
          <w:sz w:val="28"/>
          <w:szCs w:val="28"/>
        </w:rPr>
        <w:t xml:space="preserve">laulātā viedoklis, </w:t>
      </w:r>
      <w:r w:rsidRPr="00090CDE">
        <w:rPr>
          <w:sz w:val="28"/>
          <w:szCs w:val="28"/>
        </w:rPr>
        <w:t>kā arī</w:t>
      </w:r>
      <w:r w:rsidR="004D714B" w:rsidRPr="00090CDE">
        <w:rPr>
          <w:sz w:val="28"/>
          <w:szCs w:val="28"/>
        </w:rPr>
        <w:t xml:space="preserve"> nepieciešamības gadījumā</w:t>
      </w:r>
      <w:r w:rsidRPr="00090CDE">
        <w:rPr>
          <w:sz w:val="28"/>
          <w:szCs w:val="28"/>
        </w:rPr>
        <w:t xml:space="preserve"> jāapzina personas tuvi un tālāki radinieki, lai noskaidrotu viņu viedokli par iespēju uzņemties aizgādņa pienākumus. Ja personai nav iespējams iecelt aizgādni no minētā likuma pantā noteiktā personu loka, bāriņtiesa vadās no Civillikuma 236.pantā noteiktā tiesiskā regulējuma aizbildnības gadījumos, kas vienlīdz piemērojams arī aizgādnības nodibināšanas gadījumos, respektīvi, ieceļ aizgādņus no citu personu vidus.</w:t>
      </w:r>
    </w:p>
    <w:p w:rsidR="009F45F3" w:rsidRPr="009F45F3" w:rsidRDefault="009F45F3" w:rsidP="009F45F3">
      <w:pPr>
        <w:pStyle w:val="NormalWeb"/>
        <w:spacing w:before="0" w:beforeAutospacing="0" w:after="0" w:afterAutospacing="0"/>
        <w:ind w:firstLine="720"/>
        <w:jc w:val="both"/>
        <w:rPr>
          <w:bCs/>
          <w:sz w:val="28"/>
          <w:szCs w:val="28"/>
        </w:rPr>
      </w:pPr>
      <w:r w:rsidRPr="00090CDE">
        <w:rPr>
          <w:bCs/>
          <w:sz w:val="28"/>
          <w:szCs w:val="28"/>
        </w:rPr>
        <w:t xml:space="preserve">Apkopojot statistisko informāciju, secināms, ka pēdējos trīs gados vērojama tendence pieaugt kopējam aizgādnībā esošo personu skaitam valstī. Proti, noskaidrots, ka 2013.gadā bāriņtiesas sniegušas ziņas par 55 personām vairāk nekā 2012.gadā. Arī 2014.gadā nedaudz pieaudzis kopējais personu ar ierobežotu rīcībspēju skaits, proti, apkopojot datus, konstatēts, ka 2014.gada 31.decembrī kopumā valstī ir 2989 aizgādnībā esošas personas, kas ir par 28 personām vairāk nekā </w:t>
      </w:r>
      <w:r w:rsidRPr="00090CDE">
        <w:rPr>
          <w:bCs/>
          <w:sz w:val="28"/>
          <w:szCs w:val="28"/>
        </w:rPr>
        <w:lastRenderedPageBreak/>
        <w:t>2013.gadā. Savukārt 2015.gadā fiksēti dati par 3081 personu skaitu, kurām nodibināta aizgādnība.</w:t>
      </w:r>
    </w:p>
    <w:p w:rsidR="00D33359" w:rsidRPr="009F45F3" w:rsidRDefault="009F45F3" w:rsidP="009F45F3">
      <w:pPr>
        <w:jc w:val="right"/>
        <w:rPr>
          <w:b/>
          <w:sz w:val="26"/>
          <w:szCs w:val="26"/>
        </w:rPr>
      </w:pPr>
      <w:r>
        <w:rPr>
          <w:b/>
          <w:sz w:val="26"/>
          <w:szCs w:val="26"/>
        </w:rPr>
        <w:t>32</w:t>
      </w:r>
      <w:r w:rsidR="00A218EB" w:rsidRPr="00090CDE">
        <w:rPr>
          <w:b/>
          <w:sz w:val="26"/>
          <w:szCs w:val="26"/>
        </w:rPr>
        <w:t>.diagramma</w:t>
      </w:r>
    </w:p>
    <w:p w:rsidR="00D33359" w:rsidRPr="00090CDE" w:rsidRDefault="00D33359" w:rsidP="00D33359">
      <w:pPr>
        <w:pStyle w:val="NormalWeb"/>
        <w:spacing w:before="0" w:beforeAutospacing="0" w:after="0" w:afterAutospacing="0"/>
        <w:ind w:firstLine="720"/>
        <w:rPr>
          <w:bCs/>
          <w:sz w:val="28"/>
          <w:szCs w:val="28"/>
        </w:rPr>
      </w:pPr>
      <w:r w:rsidRPr="00090CDE">
        <w:rPr>
          <w:noProof/>
          <w:lang w:val="en-GB" w:eastAsia="en-GB"/>
        </w:rPr>
        <w:drawing>
          <wp:inline distT="0" distB="0" distL="0" distR="0" wp14:anchorId="28437978" wp14:editId="3F97C497">
            <wp:extent cx="5343525" cy="3143250"/>
            <wp:effectExtent l="0" t="0" r="9525" b="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D33359" w:rsidRPr="00090CDE" w:rsidRDefault="00D33359" w:rsidP="00AF0BA4">
      <w:pPr>
        <w:pStyle w:val="NormalWeb"/>
        <w:spacing w:before="0" w:beforeAutospacing="0" w:after="0" w:afterAutospacing="0"/>
        <w:jc w:val="both"/>
        <w:rPr>
          <w:bCs/>
          <w:sz w:val="28"/>
          <w:szCs w:val="28"/>
        </w:rPr>
      </w:pPr>
    </w:p>
    <w:p w:rsidR="00F6097D" w:rsidRPr="00090CDE" w:rsidRDefault="002D194A" w:rsidP="00F6097D">
      <w:pPr>
        <w:pStyle w:val="NormalWeb"/>
        <w:spacing w:before="0" w:beforeAutospacing="0" w:after="0" w:afterAutospacing="0"/>
        <w:ind w:firstLine="720"/>
        <w:jc w:val="both"/>
        <w:rPr>
          <w:bCs/>
          <w:sz w:val="28"/>
          <w:szCs w:val="28"/>
        </w:rPr>
      </w:pPr>
      <w:r w:rsidRPr="00090CDE">
        <w:rPr>
          <w:bCs/>
          <w:sz w:val="28"/>
          <w:szCs w:val="28"/>
        </w:rPr>
        <w:t>Līdzīgi rādītāji konstatēti attiecībā uz personu skaitu, kuras ieceltas par aizgādni pe</w:t>
      </w:r>
      <w:r w:rsidR="00266F01" w:rsidRPr="00090CDE">
        <w:rPr>
          <w:bCs/>
          <w:sz w:val="28"/>
          <w:szCs w:val="28"/>
        </w:rPr>
        <w:t>rsonai ar ierobežotu rīcībspēju, respektīvi, aizgādņu skaitam proporcionāli aiz</w:t>
      </w:r>
      <w:r w:rsidR="009C5575" w:rsidRPr="00090CDE">
        <w:rPr>
          <w:bCs/>
          <w:sz w:val="28"/>
          <w:szCs w:val="28"/>
        </w:rPr>
        <w:t>gādnībā esošo personu skaitam pē</w:t>
      </w:r>
      <w:r w:rsidR="00090EE8" w:rsidRPr="00090CDE">
        <w:rPr>
          <w:bCs/>
          <w:sz w:val="28"/>
          <w:szCs w:val="28"/>
        </w:rPr>
        <w:t>dējos četros</w:t>
      </w:r>
      <w:r w:rsidR="00266F01" w:rsidRPr="00090CDE">
        <w:rPr>
          <w:bCs/>
          <w:sz w:val="28"/>
          <w:szCs w:val="28"/>
        </w:rPr>
        <w:t xml:space="preserve"> gados ir tendence palielināties.</w:t>
      </w:r>
      <w:r w:rsidRPr="00090CDE">
        <w:rPr>
          <w:bCs/>
          <w:sz w:val="28"/>
          <w:szCs w:val="28"/>
        </w:rPr>
        <w:t xml:space="preserve"> Proti, 2012.gadā 2711 persona pildīja aizgādņa pienākumus, nodrošinot </w:t>
      </w:r>
      <w:r w:rsidR="00654D9C" w:rsidRPr="00090CDE">
        <w:rPr>
          <w:bCs/>
          <w:sz w:val="28"/>
          <w:szCs w:val="28"/>
        </w:rPr>
        <w:t xml:space="preserve">personas </w:t>
      </w:r>
      <w:r w:rsidRPr="00090CDE">
        <w:rPr>
          <w:bCs/>
          <w:sz w:val="28"/>
          <w:szCs w:val="28"/>
        </w:rPr>
        <w:t>intereses</w:t>
      </w:r>
      <w:r w:rsidR="00654D9C" w:rsidRPr="00090CDE">
        <w:rPr>
          <w:bCs/>
          <w:sz w:val="28"/>
          <w:szCs w:val="28"/>
        </w:rPr>
        <w:t>, savukārt 2013.gadā sniegta informācija par 2744 personām, kuras īstenoja aizgādņa pien</w:t>
      </w:r>
      <w:r w:rsidR="00F6097D" w:rsidRPr="00090CDE">
        <w:rPr>
          <w:bCs/>
          <w:sz w:val="28"/>
          <w:szCs w:val="28"/>
        </w:rPr>
        <w:t>ākumus tiesas noteiktajā apjomā, kas ir par 33 personām vairāk nekā 2012.gadā.</w:t>
      </w:r>
      <w:r w:rsidR="00266F01" w:rsidRPr="00090CDE">
        <w:rPr>
          <w:bCs/>
          <w:sz w:val="28"/>
          <w:szCs w:val="28"/>
        </w:rPr>
        <w:t xml:space="preserve"> 2014.gadā bāri</w:t>
      </w:r>
      <w:r w:rsidR="00F6097D" w:rsidRPr="00090CDE">
        <w:rPr>
          <w:bCs/>
          <w:sz w:val="28"/>
          <w:szCs w:val="28"/>
        </w:rPr>
        <w:t>ņtiesas sn</w:t>
      </w:r>
      <w:r w:rsidR="00266F01" w:rsidRPr="00090CDE">
        <w:rPr>
          <w:bCs/>
          <w:sz w:val="28"/>
          <w:szCs w:val="28"/>
        </w:rPr>
        <w:t>iegušas ziņas jau par</w:t>
      </w:r>
      <w:r w:rsidR="00F6097D" w:rsidRPr="00090CDE">
        <w:rPr>
          <w:bCs/>
          <w:sz w:val="28"/>
          <w:szCs w:val="28"/>
        </w:rPr>
        <w:t xml:space="preserve"> 2808</w:t>
      </w:r>
      <w:r w:rsidR="00266F01" w:rsidRPr="00090CDE">
        <w:rPr>
          <w:bCs/>
          <w:sz w:val="28"/>
          <w:szCs w:val="28"/>
        </w:rPr>
        <w:t xml:space="preserve"> </w:t>
      </w:r>
      <w:r w:rsidR="00F6097D" w:rsidRPr="00090CDE">
        <w:rPr>
          <w:bCs/>
          <w:sz w:val="28"/>
          <w:szCs w:val="28"/>
        </w:rPr>
        <w:t xml:space="preserve">personām, kuras ar bāriņtiesas lēmumu ieceltas par aizgādni personai ar ierobežotu rīcībspēju un uz 2014.gada 31.decembri pilda aizgādņa pienākumus, t.i. jau par 64 personām vairāk nekā iepriekšējā gadā. </w:t>
      </w:r>
      <w:r w:rsidR="00090EE8" w:rsidRPr="00090CDE">
        <w:rPr>
          <w:bCs/>
          <w:sz w:val="28"/>
          <w:szCs w:val="28"/>
        </w:rPr>
        <w:t xml:space="preserve">Apkopojot datus par 2015.gadu, konstatēts, ka 2015.gadā sniegti dati par 2817 aizgādņiem, t.i. par </w:t>
      </w:r>
      <w:r w:rsidR="00EF11A4" w:rsidRPr="00090CDE">
        <w:rPr>
          <w:bCs/>
          <w:sz w:val="28"/>
          <w:szCs w:val="28"/>
        </w:rPr>
        <w:t xml:space="preserve">9 personām vairāk nekā iepriekšējā gadā. </w:t>
      </w:r>
      <w:r w:rsidR="00F6097D" w:rsidRPr="00090CDE">
        <w:rPr>
          <w:bCs/>
          <w:sz w:val="28"/>
          <w:szCs w:val="28"/>
        </w:rPr>
        <w:t>Vienlaikus noskaidrots, ka no kopējā ai</w:t>
      </w:r>
      <w:r w:rsidR="008735BF" w:rsidRPr="00090CDE">
        <w:rPr>
          <w:bCs/>
          <w:sz w:val="28"/>
          <w:szCs w:val="28"/>
        </w:rPr>
        <w:t>z</w:t>
      </w:r>
      <w:r w:rsidR="00F6097D" w:rsidRPr="00090CDE">
        <w:rPr>
          <w:bCs/>
          <w:sz w:val="28"/>
          <w:szCs w:val="28"/>
        </w:rPr>
        <w:t>gādņu s</w:t>
      </w:r>
      <w:r w:rsidR="00EF11A4" w:rsidRPr="00090CDE">
        <w:rPr>
          <w:bCs/>
          <w:sz w:val="28"/>
          <w:szCs w:val="28"/>
        </w:rPr>
        <w:t>kaita pārskata 31.decembrī, 2172</w:t>
      </w:r>
      <w:r w:rsidR="00F6097D" w:rsidRPr="00090CDE">
        <w:rPr>
          <w:bCs/>
          <w:sz w:val="28"/>
          <w:szCs w:val="28"/>
        </w:rPr>
        <w:t xml:space="preserve"> aizgādņi ir personas ar ierobežotu r</w:t>
      </w:r>
      <w:r w:rsidR="00EF11A4" w:rsidRPr="00090CDE">
        <w:rPr>
          <w:bCs/>
          <w:sz w:val="28"/>
          <w:szCs w:val="28"/>
        </w:rPr>
        <w:t>īcībspēju radinieki, savukārt 64</w:t>
      </w:r>
      <w:r w:rsidR="00F6097D" w:rsidRPr="00090CDE">
        <w:rPr>
          <w:bCs/>
          <w:sz w:val="28"/>
          <w:szCs w:val="28"/>
        </w:rPr>
        <w:t xml:space="preserve">5 aizgādņi ir personas, kas ieceltas no citu personu vidus, proti, nav radinieki. </w:t>
      </w:r>
    </w:p>
    <w:p w:rsidR="00EC0D3E" w:rsidRPr="00090CDE" w:rsidRDefault="00B3027F" w:rsidP="004375EC">
      <w:pPr>
        <w:pStyle w:val="NormalWeb"/>
        <w:spacing w:before="0" w:beforeAutospacing="0" w:after="0" w:afterAutospacing="0"/>
        <w:ind w:firstLine="720"/>
        <w:jc w:val="both"/>
        <w:rPr>
          <w:sz w:val="28"/>
          <w:szCs w:val="28"/>
        </w:rPr>
      </w:pPr>
      <w:r w:rsidRPr="00090CDE">
        <w:rPr>
          <w:bCs/>
          <w:sz w:val="28"/>
          <w:szCs w:val="28"/>
        </w:rPr>
        <w:t>Aizgādnis ieceļams ir ne tikai personai, bet</w:t>
      </w:r>
      <w:r w:rsidRPr="00090CDE">
        <w:rPr>
          <w:sz w:val="28"/>
          <w:szCs w:val="28"/>
        </w:rPr>
        <w:t xml:space="preserve"> arī promesošās vai pazudušās</w:t>
      </w:r>
      <w:r w:rsidR="00EC0D3E" w:rsidRPr="00090CDE">
        <w:rPr>
          <w:sz w:val="28"/>
          <w:szCs w:val="28"/>
        </w:rPr>
        <w:t xml:space="preserve"> personas mantai</w:t>
      </w:r>
      <w:r w:rsidR="004375EC" w:rsidRPr="00090CDE">
        <w:rPr>
          <w:sz w:val="28"/>
          <w:szCs w:val="28"/>
        </w:rPr>
        <w:t>,</w:t>
      </w:r>
      <w:r w:rsidR="00EC0D3E" w:rsidRPr="00090CDE">
        <w:rPr>
          <w:sz w:val="28"/>
          <w:szCs w:val="28"/>
        </w:rPr>
        <w:t xml:space="preserve"> </w:t>
      </w:r>
      <w:r w:rsidRPr="00090CDE">
        <w:rPr>
          <w:sz w:val="28"/>
          <w:szCs w:val="28"/>
        </w:rPr>
        <w:t xml:space="preserve">ja tiesa atzinusi, ka pieteikums nodibināt aizgādnību ir pamatots un tā atzīst nepieciešamību to nodibināt. </w:t>
      </w:r>
      <w:r w:rsidR="004375EC" w:rsidRPr="00090CDE">
        <w:rPr>
          <w:sz w:val="28"/>
          <w:szCs w:val="28"/>
        </w:rPr>
        <w:t>Tāpat bāriņtiesa ieceļ aizgādni mantojumam, pamatojoties uz notāra taisīto notariālo aktu par aizgādnības nodibināšanu mantojumam.</w:t>
      </w:r>
    </w:p>
    <w:p w:rsidR="00BB016D" w:rsidRPr="00090CDE" w:rsidRDefault="00EF11A4" w:rsidP="001938C1">
      <w:pPr>
        <w:pStyle w:val="NormalWeb"/>
        <w:spacing w:before="0" w:beforeAutospacing="0" w:after="0" w:afterAutospacing="0"/>
        <w:ind w:firstLine="720"/>
        <w:jc w:val="both"/>
        <w:rPr>
          <w:sz w:val="28"/>
          <w:szCs w:val="28"/>
        </w:rPr>
      </w:pPr>
      <w:r w:rsidRPr="00090CDE">
        <w:rPr>
          <w:sz w:val="28"/>
          <w:szCs w:val="28"/>
        </w:rPr>
        <w:t>Kā redzams 19</w:t>
      </w:r>
      <w:r w:rsidR="00BB016D" w:rsidRPr="00090CDE">
        <w:rPr>
          <w:sz w:val="28"/>
          <w:szCs w:val="28"/>
        </w:rPr>
        <w:t xml:space="preserve">.diagrammā, 2013.gadā, salīdzinot ar 2012.gadu, ir </w:t>
      </w:r>
      <w:r w:rsidR="004375EC" w:rsidRPr="00090CDE">
        <w:rPr>
          <w:sz w:val="28"/>
          <w:szCs w:val="28"/>
        </w:rPr>
        <w:t>nedaudz samazinājies kopējais aizgādņu, kurus bāriņtiesas iecēlušas mantojumam vai prombūtnē esošas personas mantai, skaits</w:t>
      </w:r>
      <w:r w:rsidR="00BB016D" w:rsidRPr="00090CDE">
        <w:rPr>
          <w:sz w:val="28"/>
          <w:szCs w:val="28"/>
        </w:rPr>
        <w:t xml:space="preserve">, proti, 2012.gadā </w:t>
      </w:r>
      <w:r w:rsidR="004375EC" w:rsidRPr="00090CDE">
        <w:rPr>
          <w:sz w:val="28"/>
          <w:szCs w:val="28"/>
        </w:rPr>
        <w:t>sniegtas ziņas par</w:t>
      </w:r>
      <w:r w:rsidR="00BB016D" w:rsidRPr="00090CDE">
        <w:rPr>
          <w:sz w:val="28"/>
          <w:szCs w:val="28"/>
        </w:rPr>
        <w:t xml:space="preserve"> 320 </w:t>
      </w:r>
      <w:r w:rsidR="001A597A" w:rsidRPr="00090CDE">
        <w:rPr>
          <w:sz w:val="28"/>
          <w:szCs w:val="28"/>
        </w:rPr>
        <w:t>šādām</w:t>
      </w:r>
      <w:r w:rsidR="004375EC" w:rsidRPr="00090CDE">
        <w:rPr>
          <w:sz w:val="28"/>
          <w:szCs w:val="28"/>
        </w:rPr>
        <w:t xml:space="preserve"> personām</w:t>
      </w:r>
      <w:r w:rsidR="00BB016D" w:rsidRPr="00090CDE">
        <w:rPr>
          <w:sz w:val="28"/>
          <w:szCs w:val="28"/>
        </w:rPr>
        <w:t>, savukārt 2013.gadā</w:t>
      </w:r>
      <w:r w:rsidR="00BB016D" w:rsidRPr="00090CDE">
        <w:rPr>
          <w:b/>
          <w:sz w:val="28"/>
          <w:szCs w:val="28"/>
        </w:rPr>
        <w:t>-</w:t>
      </w:r>
      <w:r w:rsidR="004375EC" w:rsidRPr="00090CDE">
        <w:rPr>
          <w:sz w:val="28"/>
          <w:szCs w:val="28"/>
        </w:rPr>
        <w:t xml:space="preserve"> 298 personām</w:t>
      </w:r>
      <w:r w:rsidR="00BB016D" w:rsidRPr="00090CDE">
        <w:rPr>
          <w:sz w:val="28"/>
          <w:szCs w:val="28"/>
        </w:rPr>
        <w:t>, kas ir par 22 personām mazāk kā iepriekšējā gadā.</w:t>
      </w:r>
      <w:r w:rsidR="004375EC" w:rsidRPr="00090CDE">
        <w:rPr>
          <w:sz w:val="28"/>
          <w:szCs w:val="28"/>
        </w:rPr>
        <w:t xml:space="preserve"> </w:t>
      </w:r>
      <w:r w:rsidR="0013328D" w:rsidRPr="00090CDE">
        <w:rPr>
          <w:sz w:val="28"/>
          <w:szCs w:val="28"/>
        </w:rPr>
        <w:t>Savukārt 2014.gadā</w:t>
      </w:r>
      <w:r w:rsidRPr="00090CDE">
        <w:rPr>
          <w:sz w:val="28"/>
          <w:szCs w:val="28"/>
        </w:rPr>
        <w:t xml:space="preserve"> un 2015.gadā</w:t>
      </w:r>
      <w:r w:rsidR="0013328D" w:rsidRPr="00090CDE">
        <w:rPr>
          <w:sz w:val="28"/>
          <w:szCs w:val="28"/>
        </w:rPr>
        <w:t xml:space="preserve"> konstatēts minēto personu </w:t>
      </w:r>
      <w:r w:rsidR="0013328D" w:rsidRPr="00090CDE">
        <w:rPr>
          <w:sz w:val="28"/>
          <w:szCs w:val="28"/>
        </w:rPr>
        <w:lastRenderedPageBreak/>
        <w:t xml:space="preserve">kopējā skaita pieaugums, proti, bāriņtiesas sniegušas ziņas par 393 šādām personām </w:t>
      </w:r>
      <w:r w:rsidRPr="00090CDE">
        <w:rPr>
          <w:sz w:val="28"/>
          <w:szCs w:val="28"/>
        </w:rPr>
        <w:t xml:space="preserve">2014.gada 31.decembrī un 427 personām 2015.gada 31.decembrī. </w:t>
      </w:r>
    </w:p>
    <w:p w:rsidR="001938C1" w:rsidRPr="00090CDE" w:rsidRDefault="001938C1" w:rsidP="001938C1">
      <w:pPr>
        <w:pStyle w:val="NormalWeb"/>
        <w:spacing w:before="0" w:beforeAutospacing="0" w:after="0" w:afterAutospacing="0"/>
        <w:ind w:firstLine="720"/>
        <w:jc w:val="both"/>
        <w:rPr>
          <w:bCs/>
          <w:sz w:val="16"/>
          <w:szCs w:val="16"/>
        </w:rPr>
      </w:pPr>
    </w:p>
    <w:p w:rsidR="004B3059" w:rsidRPr="00090CDE" w:rsidRDefault="008E2FCB" w:rsidP="008F0F8D">
      <w:pPr>
        <w:pStyle w:val="Heading2"/>
      </w:pPr>
      <w:bookmarkStart w:id="33" w:name="_Toc455139007"/>
      <w:r w:rsidRPr="00090CDE">
        <w:t>8</w:t>
      </w:r>
      <w:r w:rsidR="00B72246" w:rsidRPr="00090CDE">
        <w:t>.2. Aizgādnībā esošo personu un aizgādņu skaits pārskata gadā</w:t>
      </w:r>
      <w:bookmarkEnd w:id="33"/>
    </w:p>
    <w:p w:rsidR="008F0F8D" w:rsidRPr="00090CDE" w:rsidRDefault="008F0F8D" w:rsidP="008F0F8D">
      <w:pPr>
        <w:rPr>
          <w:sz w:val="10"/>
          <w:szCs w:val="10"/>
        </w:rPr>
      </w:pPr>
    </w:p>
    <w:p w:rsidR="0013328D" w:rsidRPr="00090CDE" w:rsidRDefault="004B3059" w:rsidP="00F22677">
      <w:pPr>
        <w:pStyle w:val="NormalWeb"/>
        <w:spacing w:before="0" w:beforeAutospacing="0" w:after="0" w:afterAutospacing="0"/>
        <w:ind w:firstLine="720"/>
        <w:jc w:val="both"/>
        <w:rPr>
          <w:bCs/>
          <w:sz w:val="28"/>
          <w:szCs w:val="28"/>
        </w:rPr>
      </w:pPr>
      <w:bookmarkStart w:id="34" w:name="p280"/>
      <w:bookmarkStart w:id="35" w:name="p-453418"/>
      <w:bookmarkEnd w:id="34"/>
      <w:bookmarkEnd w:id="35"/>
      <w:r w:rsidRPr="00090CDE">
        <w:rPr>
          <w:bCs/>
          <w:sz w:val="28"/>
          <w:szCs w:val="28"/>
        </w:rPr>
        <w:t xml:space="preserve">Apkopojot statistisko informāciju par personu skaitu, kurām ar tiesas spriedumu ierobežota rīcībspēja un šīs personas interesēs nodibināta aizgādnība, noskaidrots, </w:t>
      </w:r>
      <w:r w:rsidR="00F22677" w:rsidRPr="00090CDE">
        <w:rPr>
          <w:bCs/>
          <w:sz w:val="28"/>
          <w:szCs w:val="28"/>
        </w:rPr>
        <w:t>ka 2012</w:t>
      </w:r>
      <w:r w:rsidRPr="00090CDE">
        <w:rPr>
          <w:bCs/>
          <w:sz w:val="28"/>
          <w:szCs w:val="28"/>
        </w:rPr>
        <w:t xml:space="preserve">.gadā </w:t>
      </w:r>
      <w:r w:rsidR="00F22677" w:rsidRPr="00090CDE">
        <w:rPr>
          <w:bCs/>
          <w:sz w:val="28"/>
          <w:szCs w:val="28"/>
        </w:rPr>
        <w:t>ar bāriņtiesas lēmumu aizgādņi iecelti 244 personām ar ierobežotu rīcībspēju, savukārt 2013.gadā- 252 personām</w:t>
      </w:r>
      <w:r w:rsidRPr="00090CDE">
        <w:rPr>
          <w:bCs/>
          <w:sz w:val="28"/>
          <w:szCs w:val="28"/>
        </w:rPr>
        <w:t>, kas ir tikai par 8 personā</w:t>
      </w:r>
      <w:r w:rsidR="00F22677" w:rsidRPr="00090CDE">
        <w:rPr>
          <w:bCs/>
          <w:sz w:val="28"/>
          <w:szCs w:val="28"/>
        </w:rPr>
        <w:t>m vairāk nekā 2012.gadā. M</w:t>
      </w:r>
      <w:r w:rsidRPr="00090CDE">
        <w:rPr>
          <w:bCs/>
          <w:sz w:val="28"/>
          <w:szCs w:val="28"/>
        </w:rPr>
        <w:t xml:space="preserve">inētajā jomā statistiskajos rādītājos </w:t>
      </w:r>
      <w:r w:rsidR="00F22677" w:rsidRPr="00090CDE">
        <w:rPr>
          <w:bCs/>
          <w:sz w:val="28"/>
          <w:szCs w:val="28"/>
        </w:rPr>
        <w:t>izmaiņas konstatētas 2014.gadā, proti, bāriņtiesas sniegušas datus par 314 personām, kurām pārskata gada ietvaros iecelti aizgādņi, tas ir par 62 personām vairāk nekā 2012.gadā.</w:t>
      </w:r>
      <w:r w:rsidR="001C31FD" w:rsidRPr="00090CDE">
        <w:rPr>
          <w:bCs/>
          <w:sz w:val="28"/>
          <w:szCs w:val="28"/>
        </w:rPr>
        <w:t xml:space="preserve"> Savukārt 2015.gadā turpinās tendence pieaugt personu skaitam, kurām aizgādņi iecelti pārskata gadā, proti, </w:t>
      </w:r>
      <w:r w:rsidR="00E14D1F" w:rsidRPr="00090CDE">
        <w:rPr>
          <w:bCs/>
          <w:sz w:val="28"/>
          <w:szCs w:val="28"/>
        </w:rPr>
        <w:t xml:space="preserve">sniegti dati jau par 387 personām. </w:t>
      </w:r>
    </w:p>
    <w:p w:rsidR="000B732C" w:rsidRPr="00E43F10" w:rsidRDefault="00E43F10" w:rsidP="00E43F10">
      <w:pPr>
        <w:jc w:val="right"/>
        <w:rPr>
          <w:b/>
          <w:sz w:val="26"/>
          <w:szCs w:val="26"/>
        </w:rPr>
      </w:pPr>
      <w:r>
        <w:rPr>
          <w:b/>
          <w:sz w:val="26"/>
          <w:szCs w:val="26"/>
        </w:rPr>
        <w:t>33</w:t>
      </w:r>
      <w:r w:rsidR="001938C1" w:rsidRPr="00090CDE">
        <w:rPr>
          <w:b/>
          <w:sz w:val="26"/>
          <w:szCs w:val="26"/>
        </w:rPr>
        <w:t>.diagramma</w:t>
      </w:r>
    </w:p>
    <w:p w:rsidR="00FF161C" w:rsidRPr="00090CDE" w:rsidRDefault="00FF161C" w:rsidP="00AC60E8">
      <w:pPr>
        <w:pStyle w:val="NormalWeb"/>
        <w:spacing w:before="0" w:beforeAutospacing="0" w:after="0" w:afterAutospacing="0"/>
        <w:ind w:firstLine="851"/>
        <w:jc w:val="both"/>
        <w:rPr>
          <w:sz w:val="28"/>
          <w:szCs w:val="28"/>
        </w:rPr>
      </w:pPr>
    </w:p>
    <w:p w:rsidR="00FF161C" w:rsidRPr="00090CDE" w:rsidRDefault="00FF161C" w:rsidP="00AC60E8">
      <w:pPr>
        <w:pStyle w:val="NormalWeb"/>
        <w:spacing w:before="0" w:beforeAutospacing="0" w:after="0" w:afterAutospacing="0"/>
        <w:ind w:firstLine="851"/>
        <w:jc w:val="both"/>
        <w:rPr>
          <w:sz w:val="28"/>
          <w:szCs w:val="28"/>
        </w:rPr>
      </w:pPr>
      <w:r w:rsidRPr="00090CDE">
        <w:rPr>
          <w:noProof/>
          <w:lang w:val="en-GB" w:eastAsia="en-GB"/>
        </w:rPr>
        <w:drawing>
          <wp:inline distT="0" distB="0" distL="0" distR="0" wp14:anchorId="3C5DA016" wp14:editId="6ED32D8D">
            <wp:extent cx="5000625" cy="3814763"/>
            <wp:effectExtent l="0" t="0" r="9525" b="1460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FF161C" w:rsidRPr="00090CDE" w:rsidRDefault="00FF161C" w:rsidP="00363877">
      <w:pPr>
        <w:pStyle w:val="NormalWeb"/>
        <w:spacing w:before="0" w:beforeAutospacing="0" w:after="0" w:afterAutospacing="0"/>
        <w:jc w:val="both"/>
        <w:rPr>
          <w:sz w:val="28"/>
          <w:szCs w:val="28"/>
        </w:rPr>
      </w:pPr>
    </w:p>
    <w:p w:rsidR="00E43F10" w:rsidRPr="00090CDE" w:rsidRDefault="00E43F10" w:rsidP="00E43F10">
      <w:pPr>
        <w:pStyle w:val="NormalWeb"/>
        <w:spacing w:before="0" w:beforeAutospacing="0" w:after="0" w:afterAutospacing="0"/>
        <w:ind w:firstLine="720"/>
        <w:jc w:val="both"/>
        <w:rPr>
          <w:bCs/>
          <w:sz w:val="28"/>
          <w:szCs w:val="28"/>
        </w:rPr>
      </w:pPr>
      <w:r w:rsidRPr="00090CDE">
        <w:rPr>
          <w:bCs/>
          <w:sz w:val="28"/>
          <w:szCs w:val="28"/>
        </w:rPr>
        <w:t xml:space="preserve">Vadoties pēc statistiskās informācijas, pēdējo četru gadu laikā vērojams aizgādņu skaita palielinājums pārskata gada ietvaros. 2013.gadā konstatēts nebūtisks aizgādņu skaita palielinājums, respektīvi, 243 personas ar bāriņtiesas lēmumu ieceltas par aizgādni personas ar ierobežotu rīcībspēju aizsardzībai. Salīdzinoši 2012.gadā par aizgādņiem ieceltas 226 personas, t.i. par 17 personām mazāk nekā 2013.gadā. Vienlaikus konstatēts, ka 2014.gadā saskaņā ar tiesas nolēmumu par aizgādnības nodibināšanu jau 302 personas ieceltas par aizgādņiem personai ar ierobežotu rīcībspēju, kas ir par 59 personām vairāk nekā 2013.gadā. Savukārt 2015.gadā sniegti </w:t>
      </w:r>
      <w:r w:rsidRPr="00090CDE">
        <w:rPr>
          <w:bCs/>
          <w:sz w:val="28"/>
          <w:szCs w:val="28"/>
        </w:rPr>
        <w:lastRenderedPageBreak/>
        <w:t>dati jau par 384 personām, kuras ar bāriņtiesas lēmumu ieceltas par aizgādni personai ar ierobežotu rīcībspēju, t.i. par 82 personām vairāk nekā 2014.gadā. No kopējā 2015.gadā iecelto aizgādņu skaita 271 aizgādņi ir personas radinieki un 113 aizgādņi- personas, kas nav radinieki.</w:t>
      </w:r>
    </w:p>
    <w:p w:rsidR="00E43F10" w:rsidRPr="00090CDE" w:rsidRDefault="00E43F10" w:rsidP="00E43F10">
      <w:pPr>
        <w:pStyle w:val="NormalWeb"/>
        <w:spacing w:before="0" w:beforeAutospacing="0" w:after="0" w:afterAutospacing="0"/>
        <w:ind w:firstLine="851"/>
        <w:jc w:val="both"/>
        <w:rPr>
          <w:sz w:val="28"/>
          <w:szCs w:val="28"/>
        </w:rPr>
      </w:pPr>
      <w:r w:rsidRPr="00090CDE">
        <w:rPr>
          <w:sz w:val="28"/>
          <w:szCs w:val="28"/>
        </w:rPr>
        <w:t>Vienlaikus noskaidrots, ka 2015.gadā par aizgādni mantojumam vai prombūtnē esošas personas mantai bāriņtiesas iecēlušas 198 personas, t.i. par 90 personām vairāk nekā 2014.gadā.</w:t>
      </w:r>
    </w:p>
    <w:p w:rsidR="00FF161C" w:rsidRPr="00090CDE" w:rsidRDefault="00FF161C" w:rsidP="00AC60E8">
      <w:pPr>
        <w:pStyle w:val="NormalWeb"/>
        <w:spacing w:before="0" w:beforeAutospacing="0" w:after="0" w:afterAutospacing="0"/>
        <w:ind w:firstLine="851"/>
        <w:jc w:val="both"/>
        <w:rPr>
          <w:sz w:val="28"/>
          <w:szCs w:val="28"/>
        </w:rPr>
      </w:pPr>
    </w:p>
    <w:p w:rsidR="000B732C" w:rsidRPr="00090CDE" w:rsidRDefault="004327BB" w:rsidP="00AC60E8">
      <w:pPr>
        <w:pStyle w:val="NormalWeb"/>
        <w:spacing w:before="0" w:beforeAutospacing="0" w:after="0" w:afterAutospacing="0"/>
        <w:ind w:firstLine="851"/>
        <w:jc w:val="both"/>
        <w:rPr>
          <w:sz w:val="28"/>
          <w:szCs w:val="28"/>
        </w:rPr>
      </w:pPr>
      <w:r w:rsidRPr="00090CDE">
        <w:rPr>
          <w:sz w:val="28"/>
          <w:szCs w:val="28"/>
        </w:rPr>
        <w:t>Bāriņtiesu likuma 41.pantā paredzēts bāriņtiesas pienākums uzraudzīt aizgādņa rīcību aizgādņa pienāku</w:t>
      </w:r>
      <w:r w:rsidR="001938C1" w:rsidRPr="00090CDE">
        <w:rPr>
          <w:sz w:val="28"/>
          <w:szCs w:val="28"/>
        </w:rPr>
        <w:t>mu izpildē, tajā skaitā pārbaudīt</w:t>
      </w:r>
      <w:r w:rsidRPr="00090CDE">
        <w:rPr>
          <w:sz w:val="28"/>
          <w:szCs w:val="28"/>
        </w:rPr>
        <w:t>, vai aizgādnis noskaidro aizgādnībā esošās personas viedokli un gribu un pārvalda mantu atbilstoši šīs personas interesēm un normatīvo aktu prasībām. Gadījumā, ja bāriņtiesa konstatē pārkāpumus aizgādņa rīcībā, bāriņtiesa</w:t>
      </w:r>
      <w:r w:rsidR="00511DD3" w:rsidRPr="00090CDE">
        <w:rPr>
          <w:sz w:val="28"/>
          <w:szCs w:val="28"/>
        </w:rPr>
        <w:t>s kompetencē atbilstoši minētā likuma 42.pantā paredzētajam ir dot aizgādnim attiecīgus norādīju</w:t>
      </w:r>
      <w:r w:rsidR="001938C1" w:rsidRPr="00090CDE">
        <w:rPr>
          <w:sz w:val="28"/>
          <w:szCs w:val="28"/>
        </w:rPr>
        <w:t>mus vai pēc nepieciešamības lemt</w:t>
      </w:r>
      <w:r w:rsidR="00511DD3" w:rsidRPr="00090CDE">
        <w:rPr>
          <w:sz w:val="28"/>
          <w:szCs w:val="28"/>
        </w:rPr>
        <w:t xml:space="preserve"> par aizgādņa atcelšanu. </w:t>
      </w:r>
    </w:p>
    <w:p w:rsidR="0096388F" w:rsidRDefault="0096388F" w:rsidP="00DC3F37">
      <w:pPr>
        <w:pStyle w:val="NormalWeb"/>
        <w:spacing w:before="0" w:beforeAutospacing="0" w:after="0" w:afterAutospacing="0"/>
        <w:ind w:firstLine="851"/>
        <w:jc w:val="both"/>
        <w:rPr>
          <w:sz w:val="28"/>
          <w:szCs w:val="28"/>
        </w:rPr>
      </w:pPr>
    </w:p>
    <w:p w:rsidR="0096388F" w:rsidRPr="0096388F" w:rsidRDefault="0096388F" w:rsidP="0096388F">
      <w:pPr>
        <w:jc w:val="right"/>
        <w:rPr>
          <w:b/>
          <w:sz w:val="26"/>
          <w:szCs w:val="26"/>
        </w:rPr>
      </w:pPr>
      <w:r>
        <w:rPr>
          <w:b/>
          <w:sz w:val="26"/>
          <w:szCs w:val="26"/>
        </w:rPr>
        <w:t>34</w:t>
      </w:r>
      <w:r w:rsidRPr="00090CDE">
        <w:rPr>
          <w:b/>
          <w:sz w:val="26"/>
          <w:szCs w:val="26"/>
        </w:rPr>
        <w:t>.diagramma</w:t>
      </w:r>
    </w:p>
    <w:p w:rsidR="0096388F" w:rsidRDefault="0096388F" w:rsidP="0096388F">
      <w:pPr>
        <w:pStyle w:val="NormalWeb"/>
        <w:spacing w:before="0" w:beforeAutospacing="0" w:after="0" w:afterAutospacing="0"/>
        <w:ind w:firstLine="851"/>
        <w:jc w:val="center"/>
        <w:rPr>
          <w:sz w:val="28"/>
          <w:szCs w:val="28"/>
        </w:rPr>
      </w:pPr>
      <w:r w:rsidRPr="00090CDE">
        <w:rPr>
          <w:noProof/>
          <w:lang w:val="en-GB" w:eastAsia="en-GB"/>
        </w:rPr>
        <w:drawing>
          <wp:inline distT="0" distB="0" distL="0" distR="0" wp14:anchorId="5B700A24" wp14:editId="7441EBA1">
            <wp:extent cx="4572000" cy="2743200"/>
            <wp:effectExtent l="0" t="0" r="0" b="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96388F" w:rsidRDefault="0096388F" w:rsidP="0096388F">
      <w:pPr>
        <w:pStyle w:val="NormalWeb"/>
        <w:spacing w:before="0" w:beforeAutospacing="0" w:after="0" w:afterAutospacing="0"/>
        <w:jc w:val="both"/>
        <w:rPr>
          <w:sz w:val="28"/>
          <w:szCs w:val="28"/>
        </w:rPr>
      </w:pPr>
    </w:p>
    <w:p w:rsidR="00DC3F37" w:rsidRPr="00090CDE" w:rsidRDefault="0096388F" w:rsidP="00DC3F37">
      <w:pPr>
        <w:pStyle w:val="NormalWeb"/>
        <w:spacing w:before="0" w:beforeAutospacing="0" w:after="0" w:afterAutospacing="0"/>
        <w:ind w:firstLine="851"/>
        <w:jc w:val="both"/>
        <w:rPr>
          <w:sz w:val="28"/>
          <w:szCs w:val="28"/>
        </w:rPr>
      </w:pPr>
      <w:r>
        <w:rPr>
          <w:sz w:val="28"/>
          <w:szCs w:val="28"/>
        </w:rPr>
        <w:t>Kā redzams 34</w:t>
      </w:r>
      <w:r w:rsidR="000E26CF" w:rsidRPr="00090CDE">
        <w:rPr>
          <w:sz w:val="28"/>
          <w:szCs w:val="28"/>
        </w:rPr>
        <w:t>.</w:t>
      </w:r>
      <w:r w:rsidR="008F0F8D" w:rsidRPr="00090CDE">
        <w:rPr>
          <w:sz w:val="28"/>
          <w:szCs w:val="28"/>
        </w:rPr>
        <w:t xml:space="preserve">diagrammā, </w:t>
      </w:r>
      <w:r w:rsidR="00450000" w:rsidRPr="00090CDE">
        <w:rPr>
          <w:sz w:val="28"/>
          <w:szCs w:val="28"/>
        </w:rPr>
        <w:t xml:space="preserve">salīdzinājumā ar 2012.gadu </w:t>
      </w:r>
      <w:r w:rsidR="008F0F8D" w:rsidRPr="00090CDE">
        <w:rPr>
          <w:sz w:val="28"/>
          <w:szCs w:val="28"/>
        </w:rPr>
        <w:t>2013.</w:t>
      </w:r>
      <w:r w:rsidR="002F60FE" w:rsidRPr="00090CDE">
        <w:rPr>
          <w:sz w:val="28"/>
          <w:szCs w:val="28"/>
        </w:rPr>
        <w:t>un 2014.</w:t>
      </w:r>
      <w:r w:rsidR="008F0F8D" w:rsidRPr="00090CDE">
        <w:rPr>
          <w:sz w:val="28"/>
          <w:szCs w:val="28"/>
        </w:rPr>
        <w:t>gadā samazinājies to gadījumu skaits, kad bāriņtiesa</w:t>
      </w:r>
      <w:r w:rsidR="009B13C8" w:rsidRPr="00090CDE">
        <w:rPr>
          <w:sz w:val="28"/>
          <w:szCs w:val="28"/>
        </w:rPr>
        <w:t>s konstatējušas</w:t>
      </w:r>
      <w:r w:rsidR="008F0F8D" w:rsidRPr="00090CDE">
        <w:rPr>
          <w:sz w:val="28"/>
          <w:szCs w:val="28"/>
        </w:rPr>
        <w:t xml:space="preserve"> aizgādnības pārvaldīb</w:t>
      </w:r>
      <w:r w:rsidR="009B13C8" w:rsidRPr="00090CDE">
        <w:rPr>
          <w:sz w:val="28"/>
          <w:szCs w:val="28"/>
        </w:rPr>
        <w:t>as interesēm neizdevīgu aizgādņu</w:t>
      </w:r>
      <w:r w:rsidR="008F0F8D" w:rsidRPr="00090CDE">
        <w:rPr>
          <w:sz w:val="28"/>
          <w:szCs w:val="28"/>
        </w:rPr>
        <w:t xml:space="preserve"> darbību, proti, ja 2012.gadā bāriņtiesas pieņēmušas lēmumu atcelt no aizgādņa pienākumu pildīšanas 30 personas, tad 2013.</w:t>
      </w:r>
      <w:r w:rsidR="002F60FE" w:rsidRPr="00090CDE">
        <w:rPr>
          <w:sz w:val="28"/>
          <w:szCs w:val="28"/>
        </w:rPr>
        <w:t>un 2014.gadā uz pusi mazāk. Proti, 2014.</w:t>
      </w:r>
      <w:r w:rsidR="008F0F8D" w:rsidRPr="00090CDE">
        <w:rPr>
          <w:sz w:val="28"/>
          <w:szCs w:val="28"/>
        </w:rPr>
        <w:t>gadā attiecīgs lēmums pieņemts par 14 personām, no k</w:t>
      </w:r>
      <w:r w:rsidR="002F60FE" w:rsidRPr="00090CDE">
        <w:rPr>
          <w:sz w:val="28"/>
          <w:szCs w:val="28"/>
        </w:rPr>
        <w:t>urām 9</w:t>
      </w:r>
      <w:r w:rsidR="008F0F8D" w:rsidRPr="00090CDE">
        <w:rPr>
          <w:sz w:val="28"/>
          <w:szCs w:val="28"/>
        </w:rPr>
        <w:t xml:space="preserve"> personas ir aizgādņi personai ar i</w:t>
      </w:r>
      <w:r w:rsidR="002F60FE" w:rsidRPr="00090CDE">
        <w:rPr>
          <w:sz w:val="28"/>
          <w:szCs w:val="28"/>
        </w:rPr>
        <w:t>erobežotu rīcībspēju, savukārt 5</w:t>
      </w:r>
      <w:r w:rsidR="008F0F8D" w:rsidRPr="00090CDE">
        <w:rPr>
          <w:sz w:val="28"/>
          <w:szCs w:val="28"/>
        </w:rPr>
        <w:t xml:space="preserve"> aizgādņi mantojumam vai prombūtnē esošas personas mantai. </w:t>
      </w:r>
      <w:r w:rsidR="00B64D7D" w:rsidRPr="00090CDE">
        <w:rPr>
          <w:sz w:val="28"/>
          <w:szCs w:val="28"/>
        </w:rPr>
        <w:t xml:space="preserve">Apkopojot datus, noskaidrots, ka 2015.gadā nedaudz samazinājies atcelto aizgādņu skaits, proti, no aizgādņa pienākumu pildīšanas atceltas 10 personas (8 personas- aizgādņi personai ar ierobežotu rīcībspēju; 2 aizgādņi mantojumam vai prombūtnē esošas personas mantai). </w:t>
      </w:r>
      <w:r w:rsidR="002F60FE" w:rsidRPr="00090CDE">
        <w:rPr>
          <w:sz w:val="28"/>
          <w:szCs w:val="28"/>
        </w:rPr>
        <w:t xml:space="preserve">Konstatēts, ka </w:t>
      </w:r>
      <w:r w:rsidR="00DC3F37" w:rsidRPr="00090CDE">
        <w:rPr>
          <w:sz w:val="28"/>
          <w:szCs w:val="28"/>
        </w:rPr>
        <w:t xml:space="preserve">4 aizgādņi (personai ar ierobežotu rīcībspēju), kas atcelti no pienākumu pildīšanas nolaidīgas rīcības vai citu iemeslu dēļ, ir personas ar ierobežotu </w:t>
      </w:r>
      <w:r w:rsidR="00DC3F37" w:rsidRPr="00090CDE">
        <w:rPr>
          <w:sz w:val="28"/>
          <w:szCs w:val="28"/>
        </w:rPr>
        <w:lastRenderedPageBreak/>
        <w:t>rīcībspēju radinieki un 4 personas ir nevis radinieki, bet citas personas, kuras ieceltas par aizgādni personai ar ierobežotu rīcībspēju.</w:t>
      </w:r>
    </w:p>
    <w:p w:rsidR="00DC3F37" w:rsidRPr="00090CDE" w:rsidRDefault="00446F05" w:rsidP="00DC3F37">
      <w:pPr>
        <w:pStyle w:val="NormalWeb"/>
        <w:spacing w:before="0" w:beforeAutospacing="0" w:after="0" w:afterAutospacing="0"/>
        <w:ind w:firstLine="851"/>
        <w:jc w:val="both"/>
        <w:rPr>
          <w:sz w:val="28"/>
          <w:szCs w:val="28"/>
        </w:rPr>
      </w:pPr>
      <w:r w:rsidRPr="00090CDE">
        <w:rPr>
          <w:sz w:val="28"/>
          <w:szCs w:val="28"/>
        </w:rPr>
        <w:t xml:space="preserve">Bāriņtiesu likuma 42.panta ceturtā daļa paredz, ja bāriņtiesa konstatē administratīvi vai krimināli sodāmu aizgādņa ļaunprātīgu izmantošanu, bāriņtiesa par to paziņo tiesībaizsardzības iestādēm. </w:t>
      </w:r>
    </w:p>
    <w:p w:rsidR="008F0F8D" w:rsidRPr="00090CDE" w:rsidRDefault="00DC3F37" w:rsidP="00DC3F37">
      <w:pPr>
        <w:pStyle w:val="NormalWeb"/>
        <w:spacing w:before="0" w:beforeAutospacing="0" w:after="0" w:afterAutospacing="0"/>
        <w:ind w:firstLine="851"/>
        <w:jc w:val="both"/>
        <w:rPr>
          <w:sz w:val="28"/>
          <w:szCs w:val="28"/>
        </w:rPr>
      </w:pPr>
      <w:r w:rsidRPr="00090CDE">
        <w:rPr>
          <w:sz w:val="28"/>
          <w:szCs w:val="28"/>
        </w:rPr>
        <w:t xml:space="preserve">Inspekcijai sniegtas </w:t>
      </w:r>
      <w:r w:rsidR="008F0F8D" w:rsidRPr="00090CDE">
        <w:rPr>
          <w:sz w:val="28"/>
          <w:szCs w:val="28"/>
        </w:rPr>
        <w:t xml:space="preserve">ziņas </w:t>
      </w:r>
      <w:r w:rsidR="002F60FE" w:rsidRPr="00090CDE">
        <w:rPr>
          <w:sz w:val="28"/>
          <w:szCs w:val="28"/>
        </w:rPr>
        <w:t>par 1 personu, par k</w:t>
      </w:r>
      <w:r w:rsidRPr="00090CDE">
        <w:rPr>
          <w:sz w:val="28"/>
          <w:szCs w:val="28"/>
        </w:rPr>
        <w:t>uras pārkāpumiem bāriņtiesa 2015</w:t>
      </w:r>
      <w:r w:rsidR="008F0F8D" w:rsidRPr="00090CDE">
        <w:rPr>
          <w:sz w:val="28"/>
          <w:szCs w:val="28"/>
        </w:rPr>
        <w:t xml:space="preserve">.gadā informējusi tiesībsargājošās iestādes. </w:t>
      </w:r>
      <w:r w:rsidRPr="00090CDE">
        <w:rPr>
          <w:sz w:val="28"/>
          <w:szCs w:val="28"/>
        </w:rPr>
        <w:t xml:space="preserve">Arī 2014.gadā ziņas sniegtas par 1 personas pārkāpumiem, pildot aizgādņa peinākumus. </w:t>
      </w:r>
    </w:p>
    <w:p w:rsidR="000A5EB3" w:rsidRPr="00090CDE" w:rsidRDefault="000A5EB3" w:rsidP="0096388F"/>
    <w:p w:rsidR="00430630" w:rsidRPr="00090CDE" w:rsidRDefault="008E2FCB" w:rsidP="00482478">
      <w:pPr>
        <w:pStyle w:val="Heading1"/>
        <w:rPr>
          <w:sz w:val="32"/>
        </w:rPr>
      </w:pPr>
      <w:bookmarkStart w:id="36" w:name="_Toc455139008"/>
      <w:r w:rsidRPr="00090CDE">
        <w:rPr>
          <w:sz w:val="32"/>
        </w:rPr>
        <w:t>9</w:t>
      </w:r>
      <w:r w:rsidR="007E5DE0" w:rsidRPr="00090CDE">
        <w:rPr>
          <w:sz w:val="32"/>
        </w:rPr>
        <w:t>.</w:t>
      </w:r>
      <w:r w:rsidR="003D55CF" w:rsidRPr="00090CDE">
        <w:rPr>
          <w:sz w:val="32"/>
        </w:rPr>
        <w:t>Pārskats par bāriņtiesas lēmumiem citos jautājumos</w:t>
      </w:r>
      <w:bookmarkEnd w:id="36"/>
    </w:p>
    <w:p w:rsidR="00482478" w:rsidRPr="00090CDE" w:rsidRDefault="00482478" w:rsidP="00482478">
      <w:pPr>
        <w:rPr>
          <w:sz w:val="16"/>
          <w:szCs w:val="16"/>
        </w:rPr>
      </w:pPr>
    </w:p>
    <w:p w:rsidR="00701154" w:rsidRPr="00090CDE" w:rsidRDefault="00084CE0" w:rsidP="00740668">
      <w:pPr>
        <w:spacing w:after="0"/>
        <w:ind w:firstLine="720"/>
        <w:rPr>
          <w:sz w:val="28"/>
          <w:szCs w:val="28"/>
        </w:rPr>
      </w:pPr>
      <w:r w:rsidRPr="00090CDE">
        <w:rPr>
          <w:sz w:val="28"/>
          <w:szCs w:val="28"/>
        </w:rPr>
        <w:t xml:space="preserve">Atbilstoši </w:t>
      </w:r>
      <w:r w:rsidR="001F18DB" w:rsidRPr="00090CDE">
        <w:rPr>
          <w:sz w:val="28"/>
          <w:szCs w:val="28"/>
        </w:rPr>
        <w:t>normatīvajos aktos</w:t>
      </w:r>
      <w:r w:rsidRPr="00090CDE">
        <w:rPr>
          <w:sz w:val="28"/>
          <w:szCs w:val="28"/>
        </w:rPr>
        <w:t xml:space="preserve"> noteiktajai bāri</w:t>
      </w:r>
      <w:r w:rsidR="006931A0" w:rsidRPr="00090CDE">
        <w:rPr>
          <w:sz w:val="28"/>
          <w:szCs w:val="28"/>
        </w:rPr>
        <w:t>ņtiesas</w:t>
      </w:r>
      <w:r w:rsidR="002E6FDD" w:rsidRPr="00090CDE">
        <w:rPr>
          <w:sz w:val="28"/>
          <w:szCs w:val="28"/>
        </w:rPr>
        <w:t xml:space="preserve"> kompetencei </w:t>
      </w:r>
      <w:r w:rsidR="006931A0" w:rsidRPr="00090CDE">
        <w:rPr>
          <w:sz w:val="28"/>
          <w:szCs w:val="28"/>
        </w:rPr>
        <w:t>bāriņtiesas lēmumus pieņem koleģiāli bāriņtiesas sēd</w:t>
      </w:r>
      <w:r w:rsidR="001F18DB" w:rsidRPr="00090CDE">
        <w:rPr>
          <w:sz w:val="28"/>
          <w:szCs w:val="28"/>
        </w:rPr>
        <w:t xml:space="preserve">ē. </w:t>
      </w:r>
      <w:r w:rsidR="00104426" w:rsidRPr="00090CDE">
        <w:rPr>
          <w:sz w:val="28"/>
          <w:szCs w:val="28"/>
        </w:rPr>
        <w:t xml:space="preserve">Bāriņtiesa lēmumu rakstiski noformē un apzīmogo un tā norakstu nosūta administratīvā procesa dalībniekam 10 darbdienu laikā pēc lēmuma pieņemšanas. Administratīvā procesa likuma 67.pantā </w:t>
      </w:r>
      <w:r w:rsidR="00701154" w:rsidRPr="00090CDE">
        <w:rPr>
          <w:sz w:val="28"/>
          <w:szCs w:val="28"/>
        </w:rPr>
        <w:t>paredzētas rakstveidā izdota administratīvā akta prasības, respektīvi, sastāvdaļas, uz kurām bāriņtiesas lēmumā jābūt norād</w:t>
      </w:r>
      <w:r w:rsidR="008F3F7F" w:rsidRPr="00090CDE">
        <w:rPr>
          <w:sz w:val="28"/>
          <w:szCs w:val="28"/>
        </w:rPr>
        <w:t>ēm.</w:t>
      </w:r>
    </w:p>
    <w:p w:rsidR="00B1030B" w:rsidRPr="00090CDE" w:rsidRDefault="008F3F7F" w:rsidP="00482478">
      <w:pPr>
        <w:spacing w:after="0"/>
        <w:ind w:firstLine="720"/>
        <w:rPr>
          <w:sz w:val="28"/>
          <w:szCs w:val="28"/>
        </w:rPr>
      </w:pPr>
      <w:r w:rsidRPr="00090CDE">
        <w:rPr>
          <w:sz w:val="28"/>
          <w:szCs w:val="28"/>
        </w:rPr>
        <w:t xml:space="preserve">Tāpat bāriņtiesas priekšsēdētājs, bāriņtiesas priekšsēdētāja vietnieks vai bāriņtiesas loceklis tiesīgs pieņemt vienpersonisku lēmumu Bāriņtiesu likuma 23.pantā noteiktajos gadījumos. </w:t>
      </w:r>
      <w:r w:rsidR="00740668" w:rsidRPr="00090CDE">
        <w:rPr>
          <w:sz w:val="28"/>
          <w:szCs w:val="28"/>
        </w:rPr>
        <w:t xml:space="preserve">Vienpersonisku lēmumu pieņem mutvārdos un 24 stundu laikā noformē rakstveidā, kā arī par to paziņo bērna vecākiem, aizbildnim vai audžuģimenei. </w:t>
      </w:r>
    </w:p>
    <w:p w:rsidR="0096388F" w:rsidRPr="00090CDE" w:rsidRDefault="0096388F" w:rsidP="0096388F">
      <w:pPr>
        <w:jc w:val="right"/>
        <w:rPr>
          <w:b/>
          <w:sz w:val="26"/>
          <w:szCs w:val="26"/>
        </w:rPr>
      </w:pPr>
      <w:r w:rsidRPr="00090CDE">
        <w:rPr>
          <w:b/>
          <w:sz w:val="26"/>
          <w:szCs w:val="26"/>
        </w:rPr>
        <w:t>3</w:t>
      </w:r>
      <w:r>
        <w:rPr>
          <w:b/>
          <w:sz w:val="26"/>
          <w:szCs w:val="26"/>
        </w:rPr>
        <w:t>5</w:t>
      </w:r>
      <w:r w:rsidRPr="00090CDE">
        <w:rPr>
          <w:b/>
          <w:sz w:val="26"/>
          <w:szCs w:val="26"/>
        </w:rPr>
        <w:t>.diagramma</w:t>
      </w:r>
    </w:p>
    <w:p w:rsidR="0096388F" w:rsidRDefault="0096388F" w:rsidP="0096388F">
      <w:pPr>
        <w:ind w:firstLine="720"/>
        <w:jc w:val="center"/>
        <w:rPr>
          <w:sz w:val="28"/>
          <w:szCs w:val="28"/>
        </w:rPr>
      </w:pPr>
      <w:r w:rsidRPr="00090CDE">
        <w:rPr>
          <w:noProof/>
          <w:lang w:val="en-GB" w:eastAsia="en-GB"/>
        </w:rPr>
        <w:drawing>
          <wp:inline distT="0" distB="0" distL="0" distR="0" wp14:anchorId="5EEB9D76" wp14:editId="10049455">
            <wp:extent cx="4572000" cy="27432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875431" w:rsidRPr="006A0312" w:rsidRDefault="009833AA" w:rsidP="006A0312">
      <w:pPr>
        <w:ind w:firstLine="720"/>
        <w:rPr>
          <w:sz w:val="28"/>
          <w:szCs w:val="28"/>
        </w:rPr>
      </w:pPr>
      <w:r w:rsidRPr="00090CDE">
        <w:rPr>
          <w:sz w:val="28"/>
          <w:szCs w:val="28"/>
        </w:rPr>
        <w:t>Apkopojot bāriņtiesu sniegto informāciju, konstatēts, ka 2014.gadā, salīdzinot ar 2012.un 2013.gadu, ievērojami ir samazinājies kopējais bāriņtiesu pieņemto lēmumu skaits, proti, 2014.gadā bāriņtiesas pieņēmušas 13821 lēmumus, t.i. par 1048 lēmumiem mazāk nekā iepriekšējā gadā un 1703 lēmumiem mazāk nekā 2012.gadā.</w:t>
      </w:r>
      <w:r w:rsidR="00A04C16" w:rsidRPr="00090CDE">
        <w:rPr>
          <w:sz w:val="28"/>
          <w:szCs w:val="28"/>
        </w:rPr>
        <w:t xml:space="preserve"> Konstatēts, ka arī 2015.gadā turpina </w:t>
      </w:r>
      <w:r w:rsidRPr="00090CDE">
        <w:rPr>
          <w:sz w:val="28"/>
          <w:szCs w:val="28"/>
        </w:rPr>
        <w:t xml:space="preserve"> </w:t>
      </w:r>
      <w:r w:rsidR="00A04C16" w:rsidRPr="00090CDE">
        <w:rPr>
          <w:sz w:val="28"/>
          <w:szCs w:val="28"/>
        </w:rPr>
        <w:t xml:space="preserve">samazināties kopējais bāriņtiesu pieņemto </w:t>
      </w:r>
      <w:r w:rsidR="00A04C16" w:rsidRPr="00090CDE">
        <w:rPr>
          <w:sz w:val="28"/>
          <w:szCs w:val="28"/>
        </w:rPr>
        <w:lastRenderedPageBreak/>
        <w:t>lēmumu skaits,  proti, 2015.gadā bāriņtiesas kopumā pieņēmušas 13004 lēmumus, t.i. par 817 lēmumiem mazāk nekā 2014.gadā.</w:t>
      </w:r>
      <w:r w:rsidRPr="00090CDE">
        <w:rPr>
          <w:sz w:val="28"/>
          <w:szCs w:val="28"/>
        </w:rPr>
        <w:t>Vēršam uzmanību, ka kopējā lēmumu skaitā ietilpst tajā skaitā vienpersoniskie lēmumi, kā arī administratīvie akti, kuri atbilstoši Bāriņtiesu likumā noteiktajam nav uzskatāmi par administratīvajiem aktiem un nav pārsūdzami tiesā.</w:t>
      </w:r>
      <w:r w:rsidR="0096388F">
        <w:rPr>
          <w:sz w:val="28"/>
          <w:szCs w:val="28"/>
        </w:rPr>
        <w:t xml:space="preserve"> Datu apkopojumu skatīt 35.</w:t>
      </w:r>
      <w:r w:rsidR="00A04C16" w:rsidRPr="00090CDE">
        <w:rPr>
          <w:sz w:val="28"/>
          <w:szCs w:val="28"/>
        </w:rPr>
        <w:t xml:space="preserve">diagrammā. </w:t>
      </w:r>
    </w:p>
    <w:p w:rsidR="00070A95" w:rsidRPr="00090CDE" w:rsidRDefault="00070A95" w:rsidP="00070A95">
      <w:pPr>
        <w:spacing w:after="0" w:line="293" w:lineRule="atLeast"/>
        <w:ind w:firstLine="600"/>
        <w:rPr>
          <w:sz w:val="28"/>
          <w:szCs w:val="28"/>
        </w:rPr>
      </w:pPr>
      <w:r w:rsidRPr="00090CDE">
        <w:rPr>
          <w:rFonts w:eastAsia="Times New Roman" w:cs="Times New Roman"/>
          <w:sz w:val="28"/>
          <w:szCs w:val="28"/>
          <w:lang w:eastAsia="lv-LV"/>
        </w:rPr>
        <w:t xml:space="preserve">Bāriņtiesai atbilstoši kompetencei jāveic visus nepieciešamos pasākumus, lai aizsargātu bērnu no vecāka vai jebkuras citas personas, kas rūpējās par bērnu, visa veida fiziskas vai emocionālas vardarbības, ļaunprātībām, gādības, aprūpes un uzraudzības trūkuma, kā arī rupjas izturēšanās. </w:t>
      </w:r>
    </w:p>
    <w:p w:rsidR="00E333ED" w:rsidRPr="00090CDE" w:rsidRDefault="00E333ED" w:rsidP="00E333ED">
      <w:pPr>
        <w:spacing w:after="0" w:line="293" w:lineRule="atLeast"/>
        <w:ind w:firstLine="600"/>
        <w:rPr>
          <w:sz w:val="28"/>
          <w:szCs w:val="28"/>
        </w:rPr>
      </w:pPr>
      <w:r w:rsidRPr="00090CDE">
        <w:rPr>
          <w:sz w:val="28"/>
          <w:szCs w:val="28"/>
        </w:rPr>
        <w:t>Atbilstoši Bāriņtiesu likuma 23.panta pirmajā daļā paredzētajam: ja bērna dzīves apstākļu pārbaudē vai citādi atklājas, ka bērns atrodas veselībai vai dzīvībai bīstamos apstākļos, kā arī tad, ja bērna turpmākā atrašanās ģimenē var apdraudēt viņa veselību vai dzīvību, bāriņtiesas priekšsēdētājs, bāriņtiesas priekšsēdētāja vietnieks vai bāriņtiesas loceklis vienpersoniski pieņem lēmumu par:</w:t>
      </w:r>
    </w:p>
    <w:p w:rsidR="00E333ED" w:rsidRPr="00090CDE" w:rsidRDefault="00E333ED" w:rsidP="00E333ED">
      <w:pPr>
        <w:spacing w:after="0" w:line="293" w:lineRule="atLeast"/>
        <w:ind w:firstLine="600"/>
        <w:rPr>
          <w:sz w:val="28"/>
          <w:szCs w:val="28"/>
        </w:rPr>
      </w:pPr>
      <w:r w:rsidRPr="00090CDE">
        <w:rPr>
          <w:sz w:val="28"/>
          <w:szCs w:val="28"/>
        </w:rPr>
        <w:t xml:space="preserve"> 1) bērna aizgādības tiesību pārtraukšanu vecākiem;</w:t>
      </w:r>
    </w:p>
    <w:p w:rsidR="00E333ED" w:rsidRPr="00090CDE" w:rsidRDefault="00E333ED" w:rsidP="00E333ED">
      <w:pPr>
        <w:spacing w:after="0" w:line="293" w:lineRule="atLeast"/>
        <w:ind w:firstLine="600"/>
        <w:rPr>
          <w:sz w:val="28"/>
          <w:szCs w:val="28"/>
        </w:rPr>
      </w:pPr>
      <w:r w:rsidRPr="00090CDE">
        <w:rPr>
          <w:sz w:val="28"/>
          <w:szCs w:val="28"/>
        </w:rPr>
        <w:t xml:space="preserve"> 2) bērna izņemšanu no aizbildņa ģimenes un aizbildņa atstādināšanu no pienākumu pildīšanas;</w:t>
      </w:r>
    </w:p>
    <w:p w:rsidR="00E333ED" w:rsidRPr="00090CDE" w:rsidRDefault="00E333ED" w:rsidP="00E333ED">
      <w:pPr>
        <w:spacing w:after="0" w:line="293" w:lineRule="atLeast"/>
        <w:ind w:firstLine="600"/>
        <w:rPr>
          <w:sz w:val="28"/>
          <w:szCs w:val="28"/>
        </w:rPr>
      </w:pPr>
      <w:r w:rsidRPr="00090CDE">
        <w:rPr>
          <w:sz w:val="28"/>
          <w:szCs w:val="28"/>
        </w:rPr>
        <w:t xml:space="preserve"> 3) bērna izņemšanu no audžuģimenes. </w:t>
      </w:r>
    </w:p>
    <w:p w:rsidR="00E333ED" w:rsidRPr="00090CDE" w:rsidRDefault="00E333ED" w:rsidP="00A04C16">
      <w:pPr>
        <w:spacing w:after="0" w:line="293" w:lineRule="atLeast"/>
        <w:ind w:firstLine="600"/>
        <w:rPr>
          <w:sz w:val="28"/>
          <w:szCs w:val="28"/>
        </w:rPr>
      </w:pPr>
      <w:r w:rsidRPr="00090CDE">
        <w:rPr>
          <w:sz w:val="28"/>
          <w:szCs w:val="28"/>
        </w:rPr>
        <w:t>No minētās tiesību normas izriet, ka vienpersoniski lēmumi tiek pieņemti ar mērķi nekavējoties novērst bērna atrašanos veselībai vai dzīvībai bīstamos apstākļos, nodrošinot bērnam iespēju atrasties drošos apstākļos. Pēc būtības vienpersoniskais lēmums ir pagaidu risinājums, jo nākamo 15 dienu laikā bāriņtiesas pienākumos ietilpst objektīvi un pilnīgi noskaidrot apstākļus par turpmākām vecāka iespējām īstenot bērna aizgādības tiesības vai audžuģimenes un aizbildņa iespējām turpināt pildīt savus pienākumus un koleģiāli izlemt attiecīgu jautājumu bāriņtiesas sēdē.</w:t>
      </w:r>
    </w:p>
    <w:p w:rsidR="00A04C16" w:rsidRPr="00090CDE" w:rsidRDefault="00A04C16" w:rsidP="00A04C16">
      <w:pPr>
        <w:ind w:firstLine="720"/>
        <w:rPr>
          <w:sz w:val="28"/>
          <w:szCs w:val="28"/>
        </w:rPr>
      </w:pPr>
      <w:r w:rsidRPr="00090CDE">
        <w:rPr>
          <w:sz w:val="28"/>
          <w:szCs w:val="28"/>
        </w:rPr>
        <w:t xml:space="preserve">Apkopojot statistisko informāciju par pēdējiem četriem gadiem, konstatēta tendence vienpersonisko lēmumu skaitam samazināties. Tādējādi secināms, ka ir tendence samazināties to gadījumu skaitam, kad nepieciešams šķirt bērnus no ģimenes un nekavējoties nodrošināt tiem drošu vidi. Proti, 2012.gadā bāriņtiesas amatpersonas pieņēmušas bērnu tiesību un interešu aizsardzībai 735 vienpersoniskos lēmumus. 2013.gadā pieņemti 649 šādi lēmumi, kas ir par 86 lēmumiem mazāk nekā 2012.gadā.  Savukārt 2014.gadā bāriņtiesas pieņēmušas 488 lēmumus, t.i. par 161 lēmumu mazāk nekā iepriekšējā gadā. Konstatēts, ka 2015.gadā bāriņtiesas kopumā pieņēmušas 408 lēmumus, kas ir par 80 lēmumiem mazāk nekā iepriekšējā gadā. </w:t>
      </w:r>
    </w:p>
    <w:p w:rsidR="00B30185" w:rsidRPr="00090CDE" w:rsidRDefault="006A0312" w:rsidP="007F5071">
      <w:pPr>
        <w:jc w:val="right"/>
        <w:rPr>
          <w:b/>
          <w:sz w:val="26"/>
          <w:szCs w:val="26"/>
        </w:rPr>
      </w:pPr>
      <w:r>
        <w:rPr>
          <w:b/>
          <w:sz w:val="26"/>
          <w:szCs w:val="26"/>
        </w:rPr>
        <w:t>36</w:t>
      </w:r>
      <w:r w:rsidR="00C852AB" w:rsidRPr="00090CDE">
        <w:rPr>
          <w:b/>
          <w:sz w:val="26"/>
          <w:szCs w:val="26"/>
        </w:rPr>
        <w:t>.diagramma</w:t>
      </w:r>
    </w:p>
    <w:p w:rsidR="00B55490" w:rsidRPr="00090CDE" w:rsidRDefault="00B30185" w:rsidP="007F5071">
      <w:pPr>
        <w:jc w:val="center"/>
        <w:rPr>
          <w:b/>
          <w:sz w:val="26"/>
          <w:szCs w:val="26"/>
        </w:rPr>
      </w:pPr>
      <w:r w:rsidRPr="00090CDE">
        <w:rPr>
          <w:noProof/>
          <w:lang w:val="en-GB" w:eastAsia="en-GB"/>
        </w:rPr>
        <w:drawing>
          <wp:inline distT="0" distB="0" distL="0" distR="0" wp14:anchorId="0F2DF9FE" wp14:editId="71DC469C">
            <wp:extent cx="4572000" cy="1429966"/>
            <wp:effectExtent l="0" t="0" r="0" b="1841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9833AA" w:rsidRPr="00090CDE" w:rsidRDefault="00A04C16" w:rsidP="009833AA">
      <w:pPr>
        <w:ind w:firstLine="720"/>
        <w:rPr>
          <w:sz w:val="28"/>
          <w:szCs w:val="28"/>
        </w:rPr>
      </w:pPr>
      <w:r w:rsidRPr="00090CDE">
        <w:rPr>
          <w:sz w:val="28"/>
          <w:szCs w:val="28"/>
        </w:rPr>
        <w:lastRenderedPageBreak/>
        <w:t>Minētie 2015</w:t>
      </w:r>
      <w:r w:rsidR="00EC445D" w:rsidRPr="00090CDE">
        <w:rPr>
          <w:sz w:val="28"/>
          <w:szCs w:val="28"/>
        </w:rPr>
        <w:t>.gada vienpersonisko lēmumu</w:t>
      </w:r>
      <w:r w:rsidRPr="00090CDE">
        <w:rPr>
          <w:sz w:val="28"/>
          <w:szCs w:val="28"/>
        </w:rPr>
        <w:t xml:space="preserve"> rādītāji skaitliski sastāda 3,1</w:t>
      </w:r>
      <w:r w:rsidR="00EC445D" w:rsidRPr="00090CDE">
        <w:rPr>
          <w:sz w:val="28"/>
          <w:szCs w:val="28"/>
        </w:rPr>
        <w:t xml:space="preserve">3% no kopējā pieņemto lēmumu skaita minētā gada ietvaros. </w:t>
      </w:r>
    </w:p>
    <w:p w:rsidR="0084718B" w:rsidRPr="00090CDE" w:rsidRDefault="006A0312" w:rsidP="002D0272">
      <w:pPr>
        <w:ind w:firstLine="720"/>
        <w:jc w:val="right"/>
        <w:rPr>
          <w:sz w:val="28"/>
          <w:szCs w:val="28"/>
        </w:rPr>
      </w:pPr>
      <w:r>
        <w:rPr>
          <w:b/>
          <w:sz w:val="26"/>
          <w:szCs w:val="26"/>
        </w:rPr>
        <w:t>37</w:t>
      </w:r>
      <w:r w:rsidR="007209D9" w:rsidRPr="00090CDE">
        <w:rPr>
          <w:b/>
          <w:sz w:val="26"/>
          <w:szCs w:val="26"/>
        </w:rPr>
        <w:t>.diagramma</w:t>
      </w:r>
    </w:p>
    <w:p w:rsidR="0084718B" w:rsidRPr="00090CDE" w:rsidRDefault="0084718B" w:rsidP="002D0272">
      <w:pPr>
        <w:ind w:firstLine="720"/>
        <w:rPr>
          <w:sz w:val="28"/>
          <w:szCs w:val="28"/>
        </w:rPr>
      </w:pPr>
      <w:r w:rsidRPr="00090CDE">
        <w:rPr>
          <w:noProof/>
          <w:lang w:val="en-GB" w:eastAsia="en-GB"/>
        </w:rPr>
        <w:drawing>
          <wp:inline distT="0" distB="0" distL="0" distR="0" wp14:anchorId="2A8DB780" wp14:editId="19C56179">
            <wp:extent cx="5466715" cy="3190875"/>
            <wp:effectExtent l="0" t="0" r="63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21392E" w:rsidRPr="00090CDE" w:rsidRDefault="006A0312" w:rsidP="0021392E">
      <w:pPr>
        <w:ind w:firstLine="720"/>
        <w:rPr>
          <w:sz w:val="28"/>
          <w:szCs w:val="28"/>
        </w:rPr>
      </w:pPr>
      <w:r>
        <w:rPr>
          <w:sz w:val="28"/>
          <w:szCs w:val="28"/>
        </w:rPr>
        <w:t>Aplūkojot datu apkopojumu 37</w:t>
      </w:r>
      <w:r w:rsidR="00D50BF4" w:rsidRPr="00090CDE">
        <w:rPr>
          <w:sz w:val="28"/>
          <w:szCs w:val="28"/>
        </w:rPr>
        <w:t xml:space="preserve">.diagrammā, </w:t>
      </w:r>
      <w:r w:rsidR="002D0272" w:rsidRPr="00090CDE">
        <w:rPr>
          <w:sz w:val="28"/>
          <w:szCs w:val="28"/>
        </w:rPr>
        <w:t>redzams, ka tāpat kā iepriekšējos gados</w:t>
      </w:r>
      <w:r w:rsidR="00A72481" w:rsidRPr="00090CDE">
        <w:rPr>
          <w:sz w:val="28"/>
          <w:szCs w:val="28"/>
        </w:rPr>
        <w:t xml:space="preserve"> </w:t>
      </w:r>
      <w:r w:rsidR="002D0272" w:rsidRPr="00090CDE">
        <w:rPr>
          <w:sz w:val="28"/>
          <w:szCs w:val="28"/>
        </w:rPr>
        <w:t>lielākoties, proti, 381 lēmums</w:t>
      </w:r>
      <w:r w:rsidR="00A72481" w:rsidRPr="00090CDE">
        <w:rPr>
          <w:sz w:val="28"/>
          <w:szCs w:val="28"/>
        </w:rPr>
        <w:t xml:space="preserve">, </w:t>
      </w:r>
      <w:r w:rsidR="002D0272" w:rsidRPr="00090CDE">
        <w:rPr>
          <w:sz w:val="28"/>
          <w:szCs w:val="28"/>
        </w:rPr>
        <w:t>t.i. 93,38</w:t>
      </w:r>
      <w:r w:rsidR="00891BA2" w:rsidRPr="00090CDE">
        <w:rPr>
          <w:sz w:val="28"/>
          <w:szCs w:val="28"/>
        </w:rPr>
        <w:t>% no kopējā v</w:t>
      </w:r>
      <w:r w:rsidR="002D0272" w:rsidRPr="00090CDE">
        <w:rPr>
          <w:sz w:val="28"/>
          <w:szCs w:val="28"/>
        </w:rPr>
        <w:t>ienpersonisko lēmumu skaita 2015</w:t>
      </w:r>
      <w:r w:rsidR="00891BA2" w:rsidRPr="00090CDE">
        <w:rPr>
          <w:sz w:val="28"/>
          <w:szCs w:val="28"/>
        </w:rPr>
        <w:t>.gad</w:t>
      </w:r>
      <w:r w:rsidR="00CA603B" w:rsidRPr="00090CDE">
        <w:rPr>
          <w:sz w:val="28"/>
          <w:szCs w:val="28"/>
        </w:rPr>
        <w:t xml:space="preserve">ā, pieņemti par aizgādības tiesību pārtraukšanu vecākiem. </w:t>
      </w:r>
      <w:r w:rsidR="0021392E" w:rsidRPr="00090CDE">
        <w:rPr>
          <w:sz w:val="28"/>
          <w:szCs w:val="28"/>
        </w:rPr>
        <w:t>Salīdzinoši 2012.gadā pieņemti</w:t>
      </w:r>
      <w:r w:rsidR="002D0272" w:rsidRPr="00090CDE">
        <w:rPr>
          <w:sz w:val="28"/>
          <w:szCs w:val="28"/>
        </w:rPr>
        <w:t xml:space="preserve"> attiecīgi 682 lēmumi, 2013.gadā- 603 lēmumi, savukārt 2014.gadā 460 šādi lēmumi, t.i. par 79 lēmumiem mazāk nekā 2014.gadā.</w:t>
      </w:r>
    </w:p>
    <w:p w:rsidR="008939EF" w:rsidRPr="00090CDE" w:rsidRDefault="002D0272" w:rsidP="007D5DA5">
      <w:pPr>
        <w:ind w:firstLine="720"/>
        <w:rPr>
          <w:sz w:val="28"/>
          <w:szCs w:val="28"/>
        </w:rPr>
      </w:pPr>
      <w:r w:rsidRPr="00090CDE">
        <w:rPr>
          <w:sz w:val="28"/>
          <w:szCs w:val="28"/>
        </w:rPr>
        <w:t>Vienlaikus noskaidrots, ka 2015</w:t>
      </w:r>
      <w:r w:rsidR="00DF7AD6" w:rsidRPr="00090CDE">
        <w:rPr>
          <w:sz w:val="28"/>
          <w:szCs w:val="28"/>
        </w:rPr>
        <w:t xml:space="preserve">.gadā </w:t>
      </w:r>
      <w:r w:rsidRPr="00090CDE">
        <w:rPr>
          <w:sz w:val="28"/>
          <w:szCs w:val="28"/>
        </w:rPr>
        <w:t>5,88% jeb 24</w:t>
      </w:r>
      <w:r w:rsidR="005B314E" w:rsidRPr="00090CDE">
        <w:rPr>
          <w:sz w:val="28"/>
          <w:szCs w:val="28"/>
        </w:rPr>
        <w:t xml:space="preserve"> </w:t>
      </w:r>
      <w:r w:rsidRPr="00090CDE">
        <w:rPr>
          <w:sz w:val="28"/>
          <w:szCs w:val="28"/>
        </w:rPr>
        <w:t>lēmumi pieņemti</w:t>
      </w:r>
      <w:r w:rsidR="00DF7AD6" w:rsidRPr="00090CDE">
        <w:rPr>
          <w:sz w:val="28"/>
          <w:szCs w:val="28"/>
        </w:rPr>
        <w:t xml:space="preserve"> par bērna izņemšanu no aizbildņa ģimenes un aizbildņa atstādināšan</w:t>
      </w:r>
      <w:r w:rsidR="0021392E" w:rsidRPr="00090CDE">
        <w:rPr>
          <w:sz w:val="28"/>
          <w:szCs w:val="28"/>
        </w:rPr>
        <w:t>u no pienākumu pildīšanas, t.i.</w:t>
      </w:r>
      <w:r w:rsidR="00DF7AD6" w:rsidRPr="00090CDE">
        <w:rPr>
          <w:sz w:val="28"/>
          <w:szCs w:val="28"/>
        </w:rPr>
        <w:t xml:space="preserve"> par </w:t>
      </w:r>
      <w:r w:rsidRPr="00090CDE">
        <w:rPr>
          <w:sz w:val="28"/>
          <w:szCs w:val="28"/>
        </w:rPr>
        <w:t>3 lēmumiem vairāk nekā 2014</w:t>
      </w:r>
      <w:r w:rsidR="007D5DA5" w:rsidRPr="00090CDE">
        <w:rPr>
          <w:sz w:val="28"/>
          <w:szCs w:val="28"/>
        </w:rPr>
        <w:t>.gadā. Minētie rādītāji</w:t>
      </w:r>
      <w:r w:rsidR="00673C33" w:rsidRPr="00090CDE">
        <w:rPr>
          <w:sz w:val="28"/>
          <w:szCs w:val="28"/>
        </w:rPr>
        <w:t xml:space="preserve"> norāda uz to, ka aizbildņa ģimenē konstatēti būtiski bērnu tiesību pārkāpumi, kā rezultātā bija nepieciešama tūlītēja bērna šķiršana no aizbildņa ģimenes.</w:t>
      </w:r>
      <w:r w:rsidR="00DF7AD6" w:rsidRPr="00090CDE">
        <w:rPr>
          <w:sz w:val="28"/>
          <w:szCs w:val="28"/>
        </w:rPr>
        <w:t xml:space="preserve"> </w:t>
      </w:r>
      <w:r w:rsidR="007D5DA5" w:rsidRPr="00090CDE">
        <w:rPr>
          <w:sz w:val="28"/>
          <w:szCs w:val="28"/>
        </w:rPr>
        <w:t xml:space="preserve">Savukārt </w:t>
      </w:r>
      <w:r w:rsidRPr="00090CDE">
        <w:rPr>
          <w:sz w:val="28"/>
          <w:szCs w:val="28"/>
        </w:rPr>
        <w:t>neliels skaits lēmumu, proti, 0,73% jeb 3 vienpersoniski</w:t>
      </w:r>
      <w:r w:rsidR="00DF7AD6" w:rsidRPr="00090CDE">
        <w:rPr>
          <w:sz w:val="28"/>
          <w:szCs w:val="28"/>
        </w:rPr>
        <w:t xml:space="preserve"> lēmumi </w:t>
      </w:r>
      <w:r w:rsidRPr="00090CDE">
        <w:rPr>
          <w:sz w:val="28"/>
          <w:szCs w:val="28"/>
        </w:rPr>
        <w:t>2015</w:t>
      </w:r>
      <w:r w:rsidR="00673C33" w:rsidRPr="00090CDE">
        <w:rPr>
          <w:sz w:val="28"/>
          <w:szCs w:val="28"/>
        </w:rPr>
        <w:t xml:space="preserve">.gadā </w:t>
      </w:r>
      <w:r w:rsidR="00DF7AD6" w:rsidRPr="00090CDE">
        <w:rPr>
          <w:sz w:val="28"/>
          <w:szCs w:val="28"/>
        </w:rPr>
        <w:t>pieņemti par bērna izņemšanu no audžuģimenes aprūpes un audžuģimenes atstādi</w:t>
      </w:r>
      <w:r w:rsidR="007D5DA5" w:rsidRPr="00090CDE">
        <w:rPr>
          <w:sz w:val="28"/>
          <w:szCs w:val="28"/>
        </w:rPr>
        <w:t xml:space="preserve">nāšanu no pienākumu pildīšanas, t.i. par 4 lēmumiem mazāk nekā iepriekšējā gadā. (Detalizētāku informāciju par </w:t>
      </w:r>
      <w:r w:rsidRPr="00090CDE">
        <w:rPr>
          <w:sz w:val="28"/>
          <w:szCs w:val="28"/>
        </w:rPr>
        <w:t>vienpersoniskajiem lēmumiem četru</w:t>
      </w:r>
      <w:r w:rsidR="006A0312">
        <w:rPr>
          <w:sz w:val="28"/>
          <w:szCs w:val="28"/>
        </w:rPr>
        <w:t xml:space="preserve"> gadu griezumā skatīt 37</w:t>
      </w:r>
      <w:r w:rsidR="007D5DA5" w:rsidRPr="00090CDE">
        <w:rPr>
          <w:sz w:val="28"/>
          <w:szCs w:val="28"/>
        </w:rPr>
        <w:t>.diagrammā).</w:t>
      </w:r>
    </w:p>
    <w:p w:rsidR="000A75D8" w:rsidRPr="00090CDE" w:rsidRDefault="00E9078C" w:rsidP="00E9078C">
      <w:pPr>
        <w:ind w:firstLine="720"/>
        <w:rPr>
          <w:sz w:val="28"/>
          <w:szCs w:val="28"/>
        </w:rPr>
      </w:pPr>
      <w:r w:rsidRPr="00090CDE">
        <w:rPr>
          <w:sz w:val="28"/>
          <w:szCs w:val="28"/>
        </w:rPr>
        <w:t>Bāriņtiesu likums paredz bāriņtiesas kompetenci, aizstāvot bērna vai aizgādnībā esošās personas intereses, pieņemt lēmumus arī citu bāriņtiesas lietvedībā esošo kategoriju</w:t>
      </w:r>
      <w:r w:rsidR="002D0272" w:rsidRPr="00090CDE">
        <w:rPr>
          <w:sz w:val="28"/>
          <w:szCs w:val="28"/>
        </w:rPr>
        <w:t xml:space="preserve"> lietās. Skatīt apkopojumu 3</w:t>
      </w:r>
      <w:r w:rsidRPr="00090CDE">
        <w:rPr>
          <w:sz w:val="28"/>
          <w:szCs w:val="28"/>
        </w:rPr>
        <w:t>.attēlā.</w:t>
      </w:r>
    </w:p>
    <w:p w:rsidR="0035628F" w:rsidRPr="00090CDE" w:rsidRDefault="002D0272" w:rsidP="007D5DA5">
      <w:pPr>
        <w:ind w:firstLine="720"/>
        <w:jc w:val="right"/>
        <w:rPr>
          <w:b/>
          <w:sz w:val="26"/>
          <w:szCs w:val="26"/>
        </w:rPr>
      </w:pPr>
      <w:r w:rsidRPr="00090CDE">
        <w:rPr>
          <w:b/>
          <w:sz w:val="26"/>
          <w:szCs w:val="26"/>
        </w:rPr>
        <w:t>3</w:t>
      </w:r>
      <w:r w:rsidR="007D5DA5" w:rsidRPr="00090CDE">
        <w:rPr>
          <w:b/>
          <w:sz w:val="26"/>
          <w:szCs w:val="26"/>
        </w:rPr>
        <w:t>.attēls</w:t>
      </w:r>
    </w:p>
    <w:tbl>
      <w:tblPr>
        <w:tblStyle w:val="TableGrid"/>
        <w:tblW w:w="0" w:type="auto"/>
        <w:tblInd w:w="411" w:type="dxa"/>
        <w:tblLook w:val="04A0" w:firstRow="1" w:lastRow="0" w:firstColumn="1" w:lastColumn="0" w:noHBand="0" w:noVBand="1"/>
      </w:tblPr>
      <w:tblGrid>
        <w:gridCol w:w="5732"/>
        <w:gridCol w:w="839"/>
        <w:gridCol w:w="839"/>
        <w:gridCol w:w="840"/>
        <w:gridCol w:w="776"/>
      </w:tblGrid>
      <w:tr w:rsidR="00E33904" w:rsidRPr="00090CDE" w:rsidTr="00E33904">
        <w:tc>
          <w:tcPr>
            <w:tcW w:w="5740" w:type="dxa"/>
            <w:tcBorders>
              <w:top w:val="single" w:sz="12" w:space="0" w:color="595959"/>
              <w:left w:val="single" w:sz="12" w:space="0" w:color="595959" w:themeColor="text1" w:themeTint="A6"/>
              <w:bottom w:val="single" w:sz="12" w:space="0" w:color="595959" w:themeColor="text1" w:themeTint="A6"/>
              <w:right w:val="single" w:sz="12" w:space="0" w:color="595959"/>
            </w:tcBorders>
          </w:tcPr>
          <w:p w:rsidR="00E33904" w:rsidRPr="00090CDE" w:rsidRDefault="00E33904" w:rsidP="00835685">
            <w:pPr>
              <w:jc w:val="center"/>
              <w:rPr>
                <w:sz w:val="28"/>
                <w:szCs w:val="28"/>
              </w:rPr>
            </w:pPr>
            <w:r w:rsidRPr="00090CDE">
              <w:rPr>
                <w:b/>
                <w:sz w:val="28"/>
                <w:szCs w:val="28"/>
              </w:rPr>
              <w:t>Citi bāriņtiesās pieņemtie lēmumi</w:t>
            </w:r>
          </w:p>
        </w:tc>
        <w:tc>
          <w:tcPr>
            <w:tcW w:w="839" w:type="dxa"/>
            <w:tcBorders>
              <w:top w:val="single" w:sz="12" w:space="0" w:color="595959" w:themeColor="text1" w:themeTint="A6"/>
              <w:left w:val="single" w:sz="12" w:space="0" w:color="595959"/>
              <w:bottom w:val="single" w:sz="12" w:space="0" w:color="595959" w:themeColor="text1" w:themeTint="A6"/>
              <w:right w:val="single" w:sz="12" w:space="0" w:color="595959"/>
            </w:tcBorders>
          </w:tcPr>
          <w:p w:rsidR="00E33904" w:rsidRPr="00090CDE" w:rsidRDefault="00E33904" w:rsidP="0035628F">
            <w:pPr>
              <w:jc w:val="center"/>
              <w:rPr>
                <w:b/>
                <w:sz w:val="28"/>
                <w:szCs w:val="28"/>
              </w:rPr>
            </w:pPr>
            <w:r w:rsidRPr="00090CDE">
              <w:rPr>
                <w:b/>
                <w:sz w:val="28"/>
                <w:szCs w:val="28"/>
              </w:rPr>
              <w:t>2012</w:t>
            </w:r>
          </w:p>
        </w:tc>
        <w:tc>
          <w:tcPr>
            <w:tcW w:w="839" w:type="dxa"/>
            <w:tcBorders>
              <w:top w:val="single" w:sz="12" w:space="0" w:color="595959"/>
              <w:left w:val="single" w:sz="12" w:space="0" w:color="595959"/>
              <w:bottom w:val="single" w:sz="12" w:space="0" w:color="595959"/>
              <w:right w:val="single" w:sz="12" w:space="0" w:color="595959"/>
            </w:tcBorders>
          </w:tcPr>
          <w:p w:rsidR="00E33904" w:rsidRPr="00090CDE" w:rsidRDefault="00E33904" w:rsidP="0035628F">
            <w:pPr>
              <w:jc w:val="center"/>
              <w:rPr>
                <w:b/>
                <w:sz w:val="28"/>
                <w:szCs w:val="28"/>
              </w:rPr>
            </w:pPr>
            <w:r w:rsidRPr="00090CDE">
              <w:rPr>
                <w:b/>
                <w:sz w:val="28"/>
                <w:szCs w:val="28"/>
              </w:rPr>
              <w:t>2013</w:t>
            </w:r>
          </w:p>
        </w:tc>
        <w:tc>
          <w:tcPr>
            <w:tcW w:w="840" w:type="dxa"/>
            <w:tcBorders>
              <w:top w:val="single" w:sz="12" w:space="0" w:color="595959"/>
              <w:left w:val="single" w:sz="12" w:space="0" w:color="595959"/>
              <w:bottom w:val="single" w:sz="12" w:space="0" w:color="595959"/>
              <w:right w:val="single" w:sz="12" w:space="0" w:color="595959" w:themeColor="text1" w:themeTint="A6"/>
            </w:tcBorders>
          </w:tcPr>
          <w:p w:rsidR="00E33904" w:rsidRPr="00090CDE" w:rsidRDefault="00E33904" w:rsidP="0035628F">
            <w:pPr>
              <w:jc w:val="center"/>
              <w:rPr>
                <w:b/>
                <w:sz w:val="28"/>
                <w:szCs w:val="28"/>
              </w:rPr>
            </w:pPr>
            <w:r w:rsidRPr="00090CDE">
              <w:rPr>
                <w:b/>
                <w:sz w:val="28"/>
                <w:szCs w:val="28"/>
              </w:rPr>
              <w:t>2014</w:t>
            </w:r>
          </w:p>
        </w:tc>
        <w:tc>
          <w:tcPr>
            <w:tcW w:w="768" w:type="dxa"/>
            <w:tcBorders>
              <w:top w:val="single" w:sz="12" w:space="0" w:color="595959"/>
              <w:left w:val="single" w:sz="12" w:space="0" w:color="595959"/>
              <w:bottom w:val="single" w:sz="12" w:space="0" w:color="595959"/>
              <w:right w:val="single" w:sz="12" w:space="0" w:color="595959" w:themeColor="text1" w:themeTint="A6"/>
            </w:tcBorders>
          </w:tcPr>
          <w:p w:rsidR="00E33904" w:rsidRPr="00090CDE" w:rsidRDefault="00E33904" w:rsidP="0035628F">
            <w:pPr>
              <w:jc w:val="center"/>
              <w:rPr>
                <w:b/>
                <w:sz w:val="28"/>
                <w:szCs w:val="28"/>
              </w:rPr>
            </w:pPr>
            <w:r w:rsidRPr="00090CDE">
              <w:rPr>
                <w:b/>
                <w:sz w:val="28"/>
                <w:szCs w:val="28"/>
              </w:rPr>
              <w:t>2015</w:t>
            </w:r>
          </w:p>
        </w:tc>
      </w:tr>
      <w:tr w:rsidR="00E33904" w:rsidRPr="00090CDE" w:rsidTr="00E33904">
        <w:tc>
          <w:tcPr>
            <w:tcW w:w="5740" w:type="dxa"/>
            <w:tcBorders>
              <w:top w:val="single" w:sz="12" w:space="0" w:color="595959"/>
              <w:left w:val="single" w:sz="12" w:space="0" w:color="595959" w:themeColor="text1" w:themeTint="A6"/>
              <w:bottom w:val="single" w:sz="12" w:space="0" w:color="595959" w:themeColor="text1" w:themeTint="A6"/>
              <w:right w:val="single" w:sz="12" w:space="0" w:color="595959"/>
            </w:tcBorders>
          </w:tcPr>
          <w:p w:rsidR="00E33904" w:rsidRPr="00090CDE" w:rsidRDefault="00E33904" w:rsidP="007D5DA5">
            <w:pPr>
              <w:jc w:val="left"/>
              <w:rPr>
                <w:sz w:val="23"/>
                <w:szCs w:val="23"/>
              </w:rPr>
            </w:pPr>
            <w:r w:rsidRPr="00090CDE">
              <w:rPr>
                <w:sz w:val="23"/>
                <w:szCs w:val="23"/>
              </w:rPr>
              <w:t>Pieņemtie lēmumi par bērnu un personu ar ierobežotu rīcībspēju mantisko interešu nodrošināšanu vai aizstāvību.</w:t>
            </w:r>
          </w:p>
        </w:tc>
        <w:tc>
          <w:tcPr>
            <w:tcW w:w="839" w:type="dxa"/>
            <w:tcBorders>
              <w:top w:val="single" w:sz="12" w:space="0" w:color="595959" w:themeColor="text1" w:themeTint="A6"/>
              <w:left w:val="single" w:sz="12" w:space="0" w:color="595959"/>
              <w:bottom w:val="single" w:sz="12" w:space="0" w:color="595959" w:themeColor="text1" w:themeTint="A6"/>
              <w:right w:val="single" w:sz="12" w:space="0" w:color="595959"/>
            </w:tcBorders>
          </w:tcPr>
          <w:p w:rsidR="00E33904" w:rsidRPr="00090CDE" w:rsidRDefault="00E33904" w:rsidP="0035628F">
            <w:pPr>
              <w:jc w:val="center"/>
              <w:rPr>
                <w:sz w:val="23"/>
                <w:szCs w:val="23"/>
              </w:rPr>
            </w:pPr>
            <w:r w:rsidRPr="00090CDE">
              <w:rPr>
                <w:sz w:val="23"/>
                <w:szCs w:val="23"/>
              </w:rPr>
              <w:t>2059</w:t>
            </w:r>
          </w:p>
        </w:tc>
        <w:tc>
          <w:tcPr>
            <w:tcW w:w="839" w:type="dxa"/>
            <w:tcBorders>
              <w:top w:val="single" w:sz="12" w:space="0" w:color="595959"/>
              <w:left w:val="single" w:sz="12" w:space="0" w:color="595959"/>
              <w:bottom w:val="single" w:sz="12" w:space="0" w:color="595959"/>
              <w:right w:val="single" w:sz="12" w:space="0" w:color="595959"/>
            </w:tcBorders>
          </w:tcPr>
          <w:p w:rsidR="00E33904" w:rsidRPr="00090CDE" w:rsidRDefault="00E33904" w:rsidP="0035628F">
            <w:pPr>
              <w:jc w:val="center"/>
              <w:rPr>
                <w:sz w:val="23"/>
                <w:szCs w:val="23"/>
              </w:rPr>
            </w:pPr>
            <w:r w:rsidRPr="00090CDE">
              <w:rPr>
                <w:sz w:val="23"/>
                <w:szCs w:val="23"/>
              </w:rPr>
              <w:t>1393</w:t>
            </w:r>
          </w:p>
        </w:tc>
        <w:tc>
          <w:tcPr>
            <w:tcW w:w="840" w:type="dxa"/>
            <w:tcBorders>
              <w:top w:val="single" w:sz="12" w:space="0" w:color="595959"/>
              <w:left w:val="single" w:sz="12" w:space="0" w:color="595959"/>
              <w:bottom w:val="single" w:sz="12" w:space="0" w:color="595959"/>
              <w:right w:val="single" w:sz="12" w:space="0" w:color="595959" w:themeColor="text1" w:themeTint="A6"/>
            </w:tcBorders>
          </w:tcPr>
          <w:p w:rsidR="00E33904" w:rsidRPr="00090CDE" w:rsidRDefault="00E33904" w:rsidP="0035628F">
            <w:pPr>
              <w:jc w:val="center"/>
              <w:rPr>
                <w:sz w:val="23"/>
                <w:szCs w:val="23"/>
              </w:rPr>
            </w:pPr>
            <w:r w:rsidRPr="00090CDE">
              <w:rPr>
                <w:sz w:val="23"/>
                <w:szCs w:val="23"/>
              </w:rPr>
              <w:t>1354</w:t>
            </w:r>
          </w:p>
        </w:tc>
        <w:tc>
          <w:tcPr>
            <w:tcW w:w="768" w:type="dxa"/>
            <w:tcBorders>
              <w:top w:val="single" w:sz="12" w:space="0" w:color="595959"/>
              <w:left w:val="single" w:sz="12" w:space="0" w:color="595959"/>
              <w:bottom w:val="single" w:sz="12" w:space="0" w:color="595959"/>
              <w:right w:val="single" w:sz="12" w:space="0" w:color="595959" w:themeColor="text1" w:themeTint="A6"/>
            </w:tcBorders>
          </w:tcPr>
          <w:p w:rsidR="00E33904" w:rsidRPr="00090CDE" w:rsidRDefault="00E33904" w:rsidP="0035628F">
            <w:pPr>
              <w:jc w:val="center"/>
              <w:rPr>
                <w:sz w:val="23"/>
                <w:szCs w:val="23"/>
              </w:rPr>
            </w:pPr>
            <w:r w:rsidRPr="00090CDE">
              <w:rPr>
                <w:sz w:val="23"/>
                <w:szCs w:val="23"/>
              </w:rPr>
              <w:t>1358</w:t>
            </w:r>
          </w:p>
        </w:tc>
      </w:tr>
      <w:tr w:rsidR="00E33904" w:rsidRPr="00090CDE" w:rsidTr="00E33904">
        <w:tc>
          <w:tcPr>
            <w:tcW w:w="5740" w:type="dxa"/>
            <w:tcBorders>
              <w:top w:val="single" w:sz="12" w:space="0" w:color="595959"/>
              <w:left w:val="single" w:sz="12" w:space="0" w:color="595959" w:themeColor="text1" w:themeTint="A6"/>
              <w:bottom w:val="single" w:sz="12" w:space="0" w:color="595959" w:themeColor="text1" w:themeTint="A6"/>
              <w:right w:val="single" w:sz="12" w:space="0" w:color="595959"/>
            </w:tcBorders>
          </w:tcPr>
          <w:p w:rsidR="00E33904" w:rsidRPr="00090CDE" w:rsidRDefault="00E33904" w:rsidP="007D5DA5">
            <w:pPr>
              <w:jc w:val="left"/>
              <w:rPr>
                <w:sz w:val="23"/>
                <w:szCs w:val="23"/>
              </w:rPr>
            </w:pPr>
            <w:r w:rsidRPr="00090CDE">
              <w:rPr>
                <w:sz w:val="23"/>
                <w:szCs w:val="23"/>
              </w:rPr>
              <w:lastRenderedPageBreak/>
              <w:t>Bērnu skaits, par kuriem pēc tiesas pieprasījuma bāriņtiesa devusi atzinumu par bērna aizgādības tiesību noteikšanu un saskarsmes tiesības izmantošanas kārtību.</w:t>
            </w:r>
          </w:p>
        </w:tc>
        <w:tc>
          <w:tcPr>
            <w:tcW w:w="839" w:type="dxa"/>
            <w:tcBorders>
              <w:top w:val="single" w:sz="12" w:space="0" w:color="595959" w:themeColor="text1" w:themeTint="A6"/>
              <w:left w:val="single" w:sz="12" w:space="0" w:color="595959"/>
              <w:bottom w:val="single" w:sz="12" w:space="0" w:color="595959" w:themeColor="text1" w:themeTint="A6"/>
              <w:right w:val="single" w:sz="12" w:space="0" w:color="595959"/>
            </w:tcBorders>
          </w:tcPr>
          <w:p w:rsidR="00E33904" w:rsidRPr="00090CDE" w:rsidRDefault="00E33904" w:rsidP="0035628F">
            <w:pPr>
              <w:jc w:val="center"/>
              <w:rPr>
                <w:sz w:val="23"/>
                <w:szCs w:val="23"/>
              </w:rPr>
            </w:pPr>
            <w:r w:rsidRPr="00090CDE">
              <w:rPr>
                <w:sz w:val="23"/>
                <w:szCs w:val="23"/>
              </w:rPr>
              <w:t>826</w:t>
            </w:r>
          </w:p>
        </w:tc>
        <w:tc>
          <w:tcPr>
            <w:tcW w:w="839" w:type="dxa"/>
            <w:tcBorders>
              <w:top w:val="single" w:sz="12" w:space="0" w:color="595959"/>
              <w:left w:val="single" w:sz="12" w:space="0" w:color="595959"/>
              <w:bottom w:val="single" w:sz="12" w:space="0" w:color="595959"/>
              <w:right w:val="single" w:sz="12" w:space="0" w:color="595959"/>
            </w:tcBorders>
          </w:tcPr>
          <w:p w:rsidR="00E33904" w:rsidRPr="00090CDE" w:rsidRDefault="00E33904" w:rsidP="0035628F">
            <w:pPr>
              <w:jc w:val="center"/>
              <w:rPr>
                <w:sz w:val="23"/>
                <w:szCs w:val="23"/>
              </w:rPr>
            </w:pPr>
            <w:r w:rsidRPr="00090CDE">
              <w:rPr>
                <w:sz w:val="23"/>
                <w:szCs w:val="23"/>
              </w:rPr>
              <w:t>831</w:t>
            </w:r>
          </w:p>
        </w:tc>
        <w:tc>
          <w:tcPr>
            <w:tcW w:w="840" w:type="dxa"/>
            <w:tcBorders>
              <w:top w:val="single" w:sz="12" w:space="0" w:color="595959"/>
              <w:left w:val="single" w:sz="12" w:space="0" w:color="595959"/>
              <w:bottom w:val="single" w:sz="12" w:space="0" w:color="595959"/>
              <w:right w:val="single" w:sz="12" w:space="0" w:color="595959" w:themeColor="text1" w:themeTint="A6"/>
            </w:tcBorders>
          </w:tcPr>
          <w:p w:rsidR="00E33904" w:rsidRPr="00090CDE" w:rsidRDefault="00E33904" w:rsidP="0035628F">
            <w:pPr>
              <w:jc w:val="center"/>
              <w:rPr>
                <w:sz w:val="23"/>
                <w:szCs w:val="23"/>
              </w:rPr>
            </w:pPr>
            <w:r w:rsidRPr="00090CDE">
              <w:rPr>
                <w:sz w:val="23"/>
                <w:szCs w:val="23"/>
              </w:rPr>
              <w:t>824</w:t>
            </w:r>
          </w:p>
        </w:tc>
        <w:tc>
          <w:tcPr>
            <w:tcW w:w="768" w:type="dxa"/>
            <w:tcBorders>
              <w:top w:val="single" w:sz="12" w:space="0" w:color="595959"/>
              <w:left w:val="single" w:sz="12" w:space="0" w:color="595959"/>
              <w:bottom w:val="single" w:sz="12" w:space="0" w:color="595959"/>
              <w:right w:val="single" w:sz="12" w:space="0" w:color="595959" w:themeColor="text1" w:themeTint="A6"/>
            </w:tcBorders>
          </w:tcPr>
          <w:p w:rsidR="00E33904" w:rsidRPr="00090CDE" w:rsidRDefault="00E33904" w:rsidP="0035628F">
            <w:pPr>
              <w:jc w:val="center"/>
              <w:rPr>
                <w:sz w:val="23"/>
                <w:szCs w:val="23"/>
              </w:rPr>
            </w:pPr>
            <w:r w:rsidRPr="00090CDE">
              <w:rPr>
                <w:sz w:val="23"/>
                <w:szCs w:val="23"/>
              </w:rPr>
              <w:t>797</w:t>
            </w:r>
          </w:p>
        </w:tc>
      </w:tr>
      <w:tr w:rsidR="00E33904" w:rsidRPr="00090CDE" w:rsidTr="00E33904">
        <w:tc>
          <w:tcPr>
            <w:tcW w:w="5740" w:type="dxa"/>
            <w:tcBorders>
              <w:top w:val="single" w:sz="12" w:space="0" w:color="595959"/>
              <w:left w:val="single" w:sz="12" w:space="0" w:color="595959" w:themeColor="text1" w:themeTint="A6"/>
              <w:bottom w:val="single" w:sz="12" w:space="0" w:color="595959" w:themeColor="text1" w:themeTint="A6"/>
              <w:right w:val="single" w:sz="12" w:space="0" w:color="595959"/>
            </w:tcBorders>
          </w:tcPr>
          <w:p w:rsidR="00E33904" w:rsidRPr="00090CDE" w:rsidRDefault="00E33904" w:rsidP="007D5DA5">
            <w:pPr>
              <w:jc w:val="left"/>
              <w:rPr>
                <w:sz w:val="23"/>
                <w:szCs w:val="23"/>
              </w:rPr>
            </w:pPr>
            <w:r w:rsidRPr="00090CDE">
              <w:rPr>
                <w:sz w:val="23"/>
                <w:szCs w:val="23"/>
              </w:rPr>
              <w:t>Bērnu skaits, par kuriem bāriņtiesa pieņēmusi lēmumu par valsts sociālo pabalstu, apgādnieka zaudējuma pensijas un atbalsta ar celiakiju slimiem bērniem, kuriem nav noteikta invaliditāte, izmaksāšanu personai, kura faktiski audzina bērnu vai izmaksāšanu pašam bērnam, ja viņš sasniedzis 15 gadu vecumu.</w:t>
            </w:r>
          </w:p>
        </w:tc>
        <w:tc>
          <w:tcPr>
            <w:tcW w:w="839" w:type="dxa"/>
            <w:tcBorders>
              <w:top w:val="single" w:sz="12" w:space="0" w:color="595959" w:themeColor="text1" w:themeTint="A6"/>
              <w:left w:val="single" w:sz="12" w:space="0" w:color="595959"/>
              <w:bottom w:val="single" w:sz="12" w:space="0" w:color="595959" w:themeColor="text1" w:themeTint="A6"/>
              <w:right w:val="single" w:sz="12" w:space="0" w:color="595959"/>
            </w:tcBorders>
          </w:tcPr>
          <w:p w:rsidR="00E33904" w:rsidRPr="00090CDE" w:rsidRDefault="00E33904" w:rsidP="0035628F">
            <w:pPr>
              <w:jc w:val="center"/>
              <w:rPr>
                <w:sz w:val="23"/>
                <w:szCs w:val="23"/>
              </w:rPr>
            </w:pPr>
            <w:r w:rsidRPr="00090CDE">
              <w:rPr>
                <w:sz w:val="23"/>
                <w:szCs w:val="23"/>
              </w:rPr>
              <w:t>523</w:t>
            </w:r>
          </w:p>
        </w:tc>
        <w:tc>
          <w:tcPr>
            <w:tcW w:w="839" w:type="dxa"/>
            <w:tcBorders>
              <w:top w:val="single" w:sz="12" w:space="0" w:color="595959"/>
              <w:left w:val="single" w:sz="12" w:space="0" w:color="595959"/>
              <w:bottom w:val="single" w:sz="12" w:space="0" w:color="595959"/>
              <w:right w:val="single" w:sz="12" w:space="0" w:color="595959"/>
            </w:tcBorders>
          </w:tcPr>
          <w:p w:rsidR="00E33904" w:rsidRPr="00090CDE" w:rsidRDefault="00E33904" w:rsidP="0035628F">
            <w:pPr>
              <w:jc w:val="center"/>
              <w:rPr>
                <w:sz w:val="23"/>
                <w:szCs w:val="23"/>
              </w:rPr>
            </w:pPr>
            <w:r w:rsidRPr="00090CDE">
              <w:rPr>
                <w:sz w:val="23"/>
                <w:szCs w:val="23"/>
              </w:rPr>
              <w:t>516</w:t>
            </w:r>
          </w:p>
        </w:tc>
        <w:tc>
          <w:tcPr>
            <w:tcW w:w="840" w:type="dxa"/>
            <w:tcBorders>
              <w:top w:val="single" w:sz="12" w:space="0" w:color="595959"/>
              <w:left w:val="single" w:sz="12" w:space="0" w:color="595959"/>
              <w:bottom w:val="single" w:sz="12" w:space="0" w:color="595959"/>
              <w:right w:val="single" w:sz="12" w:space="0" w:color="595959" w:themeColor="text1" w:themeTint="A6"/>
            </w:tcBorders>
          </w:tcPr>
          <w:p w:rsidR="00E33904" w:rsidRPr="00090CDE" w:rsidRDefault="00E33904" w:rsidP="0035628F">
            <w:pPr>
              <w:jc w:val="center"/>
              <w:rPr>
                <w:sz w:val="23"/>
                <w:szCs w:val="23"/>
              </w:rPr>
            </w:pPr>
            <w:r w:rsidRPr="00090CDE">
              <w:rPr>
                <w:sz w:val="23"/>
                <w:szCs w:val="23"/>
              </w:rPr>
              <w:t>470</w:t>
            </w:r>
          </w:p>
        </w:tc>
        <w:tc>
          <w:tcPr>
            <w:tcW w:w="768" w:type="dxa"/>
            <w:tcBorders>
              <w:top w:val="single" w:sz="12" w:space="0" w:color="595959"/>
              <w:left w:val="single" w:sz="12" w:space="0" w:color="595959"/>
              <w:bottom w:val="single" w:sz="12" w:space="0" w:color="595959"/>
              <w:right w:val="single" w:sz="12" w:space="0" w:color="595959" w:themeColor="text1" w:themeTint="A6"/>
            </w:tcBorders>
          </w:tcPr>
          <w:p w:rsidR="00E33904" w:rsidRPr="00090CDE" w:rsidRDefault="00E33904" w:rsidP="0035628F">
            <w:pPr>
              <w:jc w:val="center"/>
              <w:rPr>
                <w:sz w:val="23"/>
                <w:szCs w:val="23"/>
              </w:rPr>
            </w:pPr>
            <w:r w:rsidRPr="00090CDE">
              <w:rPr>
                <w:sz w:val="23"/>
                <w:szCs w:val="23"/>
              </w:rPr>
              <w:t>466</w:t>
            </w:r>
          </w:p>
        </w:tc>
      </w:tr>
      <w:tr w:rsidR="00E33904" w:rsidRPr="00090CDE" w:rsidTr="00E33904">
        <w:tc>
          <w:tcPr>
            <w:tcW w:w="5740" w:type="dxa"/>
            <w:tcBorders>
              <w:top w:val="single" w:sz="12" w:space="0" w:color="595959"/>
              <w:left w:val="single" w:sz="12" w:space="0" w:color="595959" w:themeColor="text1" w:themeTint="A6"/>
              <w:bottom w:val="single" w:sz="12" w:space="0" w:color="595959" w:themeColor="text1" w:themeTint="A6"/>
              <w:right w:val="single" w:sz="12" w:space="0" w:color="595959"/>
            </w:tcBorders>
          </w:tcPr>
          <w:p w:rsidR="00E33904" w:rsidRPr="00090CDE" w:rsidRDefault="00E33904" w:rsidP="007D5DA5">
            <w:pPr>
              <w:jc w:val="left"/>
              <w:rPr>
                <w:sz w:val="23"/>
                <w:szCs w:val="23"/>
              </w:rPr>
            </w:pPr>
            <w:r w:rsidRPr="00090CDE">
              <w:rPr>
                <w:sz w:val="23"/>
                <w:szCs w:val="23"/>
              </w:rPr>
              <w:t>Bērnu skaits, kuri nosūtīti konsultācijas saņemšanai pie ģimenes ārsta, psihologa vai cita speciālista.</w:t>
            </w:r>
          </w:p>
        </w:tc>
        <w:tc>
          <w:tcPr>
            <w:tcW w:w="839" w:type="dxa"/>
            <w:tcBorders>
              <w:top w:val="single" w:sz="12" w:space="0" w:color="595959" w:themeColor="text1" w:themeTint="A6"/>
              <w:left w:val="single" w:sz="12" w:space="0" w:color="595959"/>
              <w:bottom w:val="single" w:sz="12" w:space="0" w:color="595959" w:themeColor="text1" w:themeTint="A6"/>
              <w:right w:val="single" w:sz="12" w:space="0" w:color="595959"/>
            </w:tcBorders>
          </w:tcPr>
          <w:p w:rsidR="00E33904" w:rsidRPr="00090CDE" w:rsidRDefault="00E33904" w:rsidP="0035628F">
            <w:pPr>
              <w:jc w:val="center"/>
              <w:rPr>
                <w:sz w:val="23"/>
                <w:szCs w:val="23"/>
              </w:rPr>
            </w:pPr>
            <w:r w:rsidRPr="00090CDE">
              <w:rPr>
                <w:sz w:val="23"/>
                <w:szCs w:val="23"/>
              </w:rPr>
              <w:t>193</w:t>
            </w:r>
          </w:p>
        </w:tc>
        <w:tc>
          <w:tcPr>
            <w:tcW w:w="839" w:type="dxa"/>
            <w:tcBorders>
              <w:top w:val="single" w:sz="12" w:space="0" w:color="595959"/>
              <w:left w:val="single" w:sz="12" w:space="0" w:color="595959"/>
              <w:bottom w:val="single" w:sz="12" w:space="0" w:color="595959"/>
              <w:right w:val="single" w:sz="12" w:space="0" w:color="595959"/>
            </w:tcBorders>
          </w:tcPr>
          <w:p w:rsidR="00E33904" w:rsidRPr="00090CDE" w:rsidRDefault="00E33904" w:rsidP="0035628F">
            <w:pPr>
              <w:jc w:val="center"/>
              <w:rPr>
                <w:sz w:val="23"/>
                <w:szCs w:val="23"/>
              </w:rPr>
            </w:pPr>
            <w:r w:rsidRPr="00090CDE">
              <w:rPr>
                <w:sz w:val="23"/>
                <w:szCs w:val="23"/>
              </w:rPr>
              <w:t>181</w:t>
            </w:r>
          </w:p>
        </w:tc>
        <w:tc>
          <w:tcPr>
            <w:tcW w:w="840" w:type="dxa"/>
            <w:tcBorders>
              <w:top w:val="single" w:sz="12" w:space="0" w:color="595959"/>
              <w:left w:val="single" w:sz="12" w:space="0" w:color="595959"/>
              <w:bottom w:val="single" w:sz="12" w:space="0" w:color="595959"/>
              <w:right w:val="single" w:sz="12" w:space="0" w:color="595959" w:themeColor="text1" w:themeTint="A6"/>
            </w:tcBorders>
          </w:tcPr>
          <w:p w:rsidR="00E33904" w:rsidRPr="00090CDE" w:rsidRDefault="00E33904" w:rsidP="0035628F">
            <w:pPr>
              <w:jc w:val="center"/>
              <w:rPr>
                <w:sz w:val="23"/>
                <w:szCs w:val="23"/>
              </w:rPr>
            </w:pPr>
            <w:r w:rsidRPr="00090CDE">
              <w:rPr>
                <w:sz w:val="23"/>
                <w:szCs w:val="23"/>
              </w:rPr>
              <w:t>204</w:t>
            </w:r>
          </w:p>
        </w:tc>
        <w:tc>
          <w:tcPr>
            <w:tcW w:w="768" w:type="dxa"/>
            <w:tcBorders>
              <w:top w:val="single" w:sz="12" w:space="0" w:color="595959"/>
              <w:left w:val="single" w:sz="12" w:space="0" w:color="595959"/>
              <w:bottom w:val="single" w:sz="12" w:space="0" w:color="595959"/>
              <w:right w:val="single" w:sz="12" w:space="0" w:color="595959" w:themeColor="text1" w:themeTint="A6"/>
            </w:tcBorders>
          </w:tcPr>
          <w:p w:rsidR="00E33904" w:rsidRPr="00090CDE" w:rsidRDefault="00E33904" w:rsidP="0035628F">
            <w:pPr>
              <w:jc w:val="center"/>
              <w:rPr>
                <w:sz w:val="23"/>
                <w:szCs w:val="23"/>
              </w:rPr>
            </w:pPr>
            <w:r w:rsidRPr="00090CDE">
              <w:rPr>
                <w:sz w:val="23"/>
                <w:szCs w:val="23"/>
              </w:rPr>
              <w:t>119</w:t>
            </w:r>
          </w:p>
        </w:tc>
      </w:tr>
      <w:tr w:rsidR="00E33904" w:rsidRPr="00090CDE" w:rsidTr="00E33904">
        <w:tc>
          <w:tcPr>
            <w:tcW w:w="5740" w:type="dxa"/>
            <w:tcBorders>
              <w:top w:val="single" w:sz="12" w:space="0" w:color="595959" w:themeColor="text1" w:themeTint="A6"/>
              <w:left w:val="single" w:sz="12" w:space="0" w:color="595959"/>
              <w:bottom w:val="single" w:sz="12" w:space="0" w:color="595959" w:themeColor="text1" w:themeTint="A6"/>
              <w:right w:val="single" w:sz="12" w:space="0" w:color="595959"/>
            </w:tcBorders>
          </w:tcPr>
          <w:p w:rsidR="00E33904" w:rsidRPr="00090CDE" w:rsidRDefault="00E33904" w:rsidP="00635AAD">
            <w:pPr>
              <w:jc w:val="left"/>
              <w:rPr>
                <w:sz w:val="23"/>
                <w:szCs w:val="23"/>
              </w:rPr>
            </w:pPr>
            <w:r w:rsidRPr="00090CDE">
              <w:rPr>
                <w:sz w:val="23"/>
                <w:szCs w:val="23"/>
              </w:rPr>
              <w:t>Bērnu skaits, par kuriem bāriņtiesa pieņēmusi lēmumu par bērna vārda, uzvārda vai tautības ierakstu.</w:t>
            </w:r>
          </w:p>
        </w:tc>
        <w:tc>
          <w:tcPr>
            <w:tcW w:w="839" w:type="dxa"/>
            <w:tcBorders>
              <w:top w:val="single" w:sz="12" w:space="0" w:color="595959" w:themeColor="text1" w:themeTint="A6"/>
              <w:left w:val="single" w:sz="12" w:space="0" w:color="595959"/>
              <w:bottom w:val="single" w:sz="12" w:space="0" w:color="595959" w:themeColor="text1" w:themeTint="A6"/>
              <w:right w:val="single" w:sz="12" w:space="0" w:color="595959"/>
            </w:tcBorders>
          </w:tcPr>
          <w:p w:rsidR="00E33904" w:rsidRPr="00090CDE" w:rsidRDefault="00E33904" w:rsidP="0035628F">
            <w:pPr>
              <w:jc w:val="center"/>
              <w:rPr>
                <w:sz w:val="23"/>
                <w:szCs w:val="23"/>
              </w:rPr>
            </w:pPr>
            <w:r w:rsidRPr="00090CDE">
              <w:rPr>
                <w:sz w:val="23"/>
                <w:szCs w:val="23"/>
              </w:rPr>
              <w:t>74</w:t>
            </w:r>
          </w:p>
        </w:tc>
        <w:tc>
          <w:tcPr>
            <w:tcW w:w="839" w:type="dxa"/>
            <w:tcBorders>
              <w:top w:val="single" w:sz="12" w:space="0" w:color="595959"/>
              <w:left w:val="single" w:sz="12" w:space="0" w:color="595959"/>
              <w:bottom w:val="single" w:sz="12" w:space="0" w:color="595959" w:themeColor="text1" w:themeTint="A6"/>
              <w:right w:val="single" w:sz="12" w:space="0" w:color="595959"/>
            </w:tcBorders>
          </w:tcPr>
          <w:p w:rsidR="00E33904" w:rsidRPr="00090CDE" w:rsidRDefault="00E33904" w:rsidP="0035628F">
            <w:pPr>
              <w:jc w:val="center"/>
              <w:rPr>
                <w:sz w:val="23"/>
                <w:szCs w:val="23"/>
              </w:rPr>
            </w:pPr>
            <w:r w:rsidRPr="00090CDE">
              <w:rPr>
                <w:sz w:val="23"/>
                <w:szCs w:val="23"/>
              </w:rPr>
              <w:t>67</w:t>
            </w:r>
          </w:p>
        </w:tc>
        <w:tc>
          <w:tcPr>
            <w:tcW w:w="840"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rsidR="00E33904" w:rsidRPr="00090CDE" w:rsidRDefault="00E33904" w:rsidP="008A16E1">
            <w:pPr>
              <w:jc w:val="center"/>
              <w:rPr>
                <w:sz w:val="23"/>
                <w:szCs w:val="23"/>
              </w:rPr>
            </w:pPr>
            <w:r w:rsidRPr="00090CDE">
              <w:rPr>
                <w:sz w:val="23"/>
                <w:szCs w:val="23"/>
              </w:rPr>
              <w:t>68</w:t>
            </w:r>
          </w:p>
        </w:tc>
        <w:tc>
          <w:tcPr>
            <w:tcW w:w="768"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rsidR="00E33904" w:rsidRPr="00090CDE" w:rsidRDefault="00E33904" w:rsidP="008A16E1">
            <w:pPr>
              <w:jc w:val="center"/>
              <w:rPr>
                <w:sz w:val="23"/>
                <w:szCs w:val="23"/>
              </w:rPr>
            </w:pPr>
            <w:r w:rsidRPr="00090CDE">
              <w:rPr>
                <w:sz w:val="23"/>
                <w:szCs w:val="23"/>
              </w:rPr>
              <w:t>91</w:t>
            </w:r>
          </w:p>
        </w:tc>
      </w:tr>
      <w:tr w:rsidR="00E33904" w:rsidRPr="00090CDE" w:rsidTr="00E33904">
        <w:tc>
          <w:tcPr>
            <w:tcW w:w="5740" w:type="dxa"/>
            <w:tcBorders>
              <w:top w:val="single" w:sz="12" w:space="0" w:color="595959" w:themeColor="text1" w:themeTint="A6"/>
              <w:left w:val="single" w:sz="12" w:space="0" w:color="595959"/>
              <w:bottom w:val="single" w:sz="12" w:space="0" w:color="595959" w:themeColor="text1" w:themeTint="A6"/>
              <w:right w:val="single" w:sz="12" w:space="0" w:color="595959"/>
            </w:tcBorders>
          </w:tcPr>
          <w:p w:rsidR="00E33904" w:rsidRPr="00090CDE" w:rsidRDefault="00E33904" w:rsidP="00635AAD">
            <w:pPr>
              <w:jc w:val="left"/>
              <w:rPr>
                <w:sz w:val="23"/>
                <w:szCs w:val="23"/>
              </w:rPr>
            </w:pPr>
            <w:r w:rsidRPr="00090CDE">
              <w:rPr>
                <w:sz w:val="23"/>
                <w:szCs w:val="23"/>
              </w:rPr>
              <w:t>Nepilngadīgo personu skaits, par kurām bāriņtiesa pieņēmusi lēmumu par atļaujas došanu stāties laulībā pirms 18 gadu vecuma sasniegšanas.</w:t>
            </w:r>
          </w:p>
        </w:tc>
        <w:tc>
          <w:tcPr>
            <w:tcW w:w="839" w:type="dxa"/>
            <w:tcBorders>
              <w:top w:val="single" w:sz="12" w:space="0" w:color="595959" w:themeColor="text1" w:themeTint="A6"/>
              <w:left w:val="single" w:sz="12" w:space="0" w:color="595959"/>
              <w:bottom w:val="single" w:sz="12" w:space="0" w:color="595959" w:themeColor="text1" w:themeTint="A6"/>
              <w:right w:val="single" w:sz="12" w:space="0" w:color="595959"/>
            </w:tcBorders>
          </w:tcPr>
          <w:p w:rsidR="00E33904" w:rsidRPr="00090CDE" w:rsidRDefault="00E33904" w:rsidP="0035628F">
            <w:pPr>
              <w:jc w:val="center"/>
              <w:rPr>
                <w:sz w:val="23"/>
                <w:szCs w:val="23"/>
              </w:rPr>
            </w:pPr>
            <w:r w:rsidRPr="00090CDE">
              <w:rPr>
                <w:sz w:val="23"/>
                <w:szCs w:val="23"/>
              </w:rPr>
              <w:t>1</w:t>
            </w:r>
          </w:p>
        </w:tc>
        <w:tc>
          <w:tcPr>
            <w:tcW w:w="839" w:type="dxa"/>
            <w:tcBorders>
              <w:top w:val="single" w:sz="12" w:space="0" w:color="595959"/>
              <w:left w:val="single" w:sz="12" w:space="0" w:color="595959"/>
              <w:bottom w:val="single" w:sz="12" w:space="0" w:color="595959" w:themeColor="text1" w:themeTint="A6"/>
              <w:right w:val="single" w:sz="12" w:space="0" w:color="595959"/>
            </w:tcBorders>
          </w:tcPr>
          <w:p w:rsidR="00E33904" w:rsidRPr="00090CDE" w:rsidRDefault="00E33904" w:rsidP="0035628F">
            <w:pPr>
              <w:jc w:val="center"/>
              <w:rPr>
                <w:sz w:val="23"/>
                <w:szCs w:val="23"/>
              </w:rPr>
            </w:pPr>
            <w:r w:rsidRPr="00090CDE">
              <w:rPr>
                <w:sz w:val="23"/>
                <w:szCs w:val="23"/>
              </w:rPr>
              <w:t>2</w:t>
            </w:r>
          </w:p>
        </w:tc>
        <w:tc>
          <w:tcPr>
            <w:tcW w:w="840"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rsidR="00E33904" w:rsidRPr="00090CDE" w:rsidRDefault="00E33904" w:rsidP="008A16E1">
            <w:pPr>
              <w:jc w:val="center"/>
              <w:rPr>
                <w:sz w:val="23"/>
                <w:szCs w:val="23"/>
              </w:rPr>
            </w:pPr>
            <w:r w:rsidRPr="00090CDE">
              <w:rPr>
                <w:sz w:val="23"/>
                <w:szCs w:val="23"/>
              </w:rPr>
              <w:t>3</w:t>
            </w:r>
          </w:p>
        </w:tc>
        <w:tc>
          <w:tcPr>
            <w:tcW w:w="768"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rsidR="00E33904" w:rsidRPr="00090CDE" w:rsidRDefault="00E33904" w:rsidP="008A16E1">
            <w:pPr>
              <w:jc w:val="center"/>
              <w:rPr>
                <w:sz w:val="23"/>
                <w:szCs w:val="23"/>
              </w:rPr>
            </w:pPr>
            <w:r w:rsidRPr="00090CDE">
              <w:rPr>
                <w:sz w:val="23"/>
                <w:szCs w:val="23"/>
              </w:rPr>
              <w:t>3</w:t>
            </w:r>
          </w:p>
        </w:tc>
      </w:tr>
      <w:tr w:rsidR="00E33904" w:rsidRPr="00090CDE" w:rsidTr="00E33904">
        <w:tc>
          <w:tcPr>
            <w:tcW w:w="5740" w:type="dxa"/>
            <w:tcBorders>
              <w:top w:val="single" w:sz="12" w:space="0" w:color="595959" w:themeColor="text1" w:themeTint="A6"/>
              <w:left w:val="single" w:sz="12" w:space="0" w:color="595959"/>
              <w:bottom w:val="single" w:sz="12" w:space="0" w:color="595959" w:themeColor="text1" w:themeTint="A6"/>
              <w:right w:val="single" w:sz="12" w:space="0" w:color="595959"/>
            </w:tcBorders>
          </w:tcPr>
          <w:p w:rsidR="00E33904" w:rsidRPr="00090CDE" w:rsidRDefault="00E33904" w:rsidP="00635AAD">
            <w:pPr>
              <w:jc w:val="left"/>
              <w:rPr>
                <w:sz w:val="23"/>
                <w:szCs w:val="23"/>
              </w:rPr>
            </w:pPr>
            <w:r w:rsidRPr="00090CDE">
              <w:rPr>
                <w:sz w:val="23"/>
                <w:szCs w:val="23"/>
              </w:rPr>
              <w:t>Bērnu skaits, par kuriem bāriņtiesa pieņēmusi lēmumu par pilngadības piešķiršanu pirms 18 gadu vecuma sasniegšanas.</w:t>
            </w:r>
          </w:p>
        </w:tc>
        <w:tc>
          <w:tcPr>
            <w:tcW w:w="839" w:type="dxa"/>
            <w:tcBorders>
              <w:top w:val="single" w:sz="12" w:space="0" w:color="595959" w:themeColor="text1" w:themeTint="A6"/>
              <w:left w:val="single" w:sz="12" w:space="0" w:color="595959"/>
              <w:bottom w:val="single" w:sz="12" w:space="0" w:color="595959" w:themeColor="text1" w:themeTint="A6"/>
              <w:right w:val="single" w:sz="12" w:space="0" w:color="595959"/>
            </w:tcBorders>
          </w:tcPr>
          <w:p w:rsidR="00E33904" w:rsidRPr="00090CDE" w:rsidRDefault="00E33904" w:rsidP="0035628F">
            <w:pPr>
              <w:jc w:val="center"/>
              <w:rPr>
                <w:sz w:val="23"/>
                <w:szCs w:val="23"/>
              </w:rPr>
            </w:pPr>
          </w:p>
        </w:tc>
        <w:tc>
          <w:tcPr>
            <w:tcW w:w="839" w:type="dxa"/>
            <w:tcBorders>
              <w:top w:val="single" w:sz="12" w:space="0" w:color="595959"/>
              <w:left w:val="single" w:sz="12" w:space="0" w:color="595959"/>
              <w:bottom w:val="single" w:sz="12" w:space="0" w:color="595959" w:themeColor="text1" w:themeTint="A6"/>
              <w:right w:val="single" w:sz="12" w:space="0" w:color="595959"/>
            </w:tcBorders>
          </w:tcPr>
          <w:p w:rsidR="00E33904" w:rsidRPr="00090CDE" w:rsidRDefault="00E33904" w:rsidP="0035628F">
            <w:pPr>
              <w:jc w:val="center"/>
              <w:rPr>
                <w:sz w:val="23"/>
                <w:szCs w:val="23"/>
              </w:rPr>
            </w:pPr>
            <w:r w:rsidRPr="00090CDE">
              <w:rPr>
                <w:sz w:val="23"/>
                <w:szCs w:val="23"/>
              </w:rPr>
              <w:t>4</w:t>
            </w:r>
          </w:p>
        </w:tc>
        <w:tc>
          <w:tcPr>
            <w:tcW w:w="840"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rsidR="00E33904" w:rsidRPr="00090CDE" w:rsidRDefault="00E33904" w:rsidP="00250375">
            <w:pPr>
              <w:rPr>
                <w:sz w:val="23"/>
                <w:szCs w:val="23"/>
              </w:rPr>
            </w:pPr>
          </w:p>
        </w:tc>
        <w:tc>
          <w:tcPr>
            <w:tcW w:w="768"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rsidR="00E33904" w:rsidRPr="00090CDE" w:rsidRDefault="00E33904" w:rsidP="00250375">
            <w:pPr>
              <w:rPr>
                <w:sz w:val="23"/>
                <w:szCs w:val="23"/>
              </w:rPr>
            </w:pPr>
            <w:r w:rsidRPr="00090CDE">
              <w:rPr>
                <w:sz w:val="23"/>
                <w:szCs w:val="23"/>
              </w:rPr>
              <w:t>2</w:t>
            </w:r>
          </w:p>
        </w:tc>
      </w:tr>
    </w:tbl>
    <w:p w:rsidR="00C25E56" w:rsidRPr="00090CDE" w:rsidRDefault="00C25E56" w:rsidP="00250375">
      <w:pPr>
        <w:rPr>
          <w:sz w:val="16"/>
          <w:szCs w:val="16"/>
        </w:rPr>
      </w:pPr>
    </w:p>
    <w:p w:rsidR="00041BF8" w:rsidRPr="00090CDE" w:rsidRDefault="002D0272" w:rsidP="00041BF8">
      <w:pPr>
        <w:spacing w:after="0"/>
        <w:ind w:firstLine="720"/>
        <w:rPr>
          <w:sz w:val="28"/>
          <w:szCs w:val="28"/>
        </w:rPr>
      </w:pPr>
      <w:r w:rsidRPr="00090CDE">
        <w:rPr>
          <w:sz w:val="28"/>
          <w:szCs w:val="28"/>
        </w:rPr>
        <w:t>Vadoties no 3</w:t>
      </w:r>
      <w:r w:rsidR="00C25E56" w:rsidRPr="00090CDE">
        <w:rPr>
          <w:sz w:val="28"/>
          <w:szCs w:val="28"/>
        </w:rPr>
        <w:t>.attēlā apkopotajiem datiem par lēmumu pieņemšanu mantisko interešu nodrošināša</w:t>
      </w:r>
      <w:r w:rsidR="00E9356F" w:rsidRPr="00090CDE">
        <w:rPr>
          <w:sz w:val="28"/>
          <w:szCs w:val="28"/>
        </w:rPr>
        <w:t xml:space="preserve">nai, redzams, ka </w:t>
      </w:r>
      <w:r w:rsidR="00C25E56" w:rsidRPr="00090CDE">
        <w:rPr>
          <w:sz w:val="28"/>
          <w:szCs w:val="28"/>
        </w:rPr>
        <w:t>2012.un 2013</w:t>
      </w:r>
      <w:r w:rsidR="00E9356F" w:rsidRPr="00090CDE">
        <w:rPr>
          <w:sz w:val="28"/>
          <w:szCs w:val="28"/>
        </w:rPr>
        <w:t>.gadā</w:t>
      </w:r>
      <w:r w:rsidR="00FD41FB" w:rsidRPr="00090CDE">
        <w:rPr>
          <w:sz w:val="28"/>
          <w:szCs w:val="28"/>
        </w:rPr>
        <w:t xml:space="preserve"> samazinājies to gadījumu skaits, kad bāriņtiesai, īstenojot Bāriņtiesu likuma 17.panta pirmajā punktā noteikto pienākumu aizstāvēt bērna vai aizgādnībā esošās personas personiskās un mantiskās intereses un tiesības, bija nepieciešams pieņemt lēmumus par bērnu vai personu ar ierobežotu rīcībspēju mantisko interešu nodrošināšanu vai aizstāvību </w:t>
      </w:r>
      <w:r w:rsidR="00FD41FB" w:rsidRPr="00090CDE">
        <w:rPr>
          <w:sz w:val="23"/>
          <w:szCs w:val="23"/>
        </w:rPr>
        <w:t>(piemēram, lēmumu par atļauju pieņemt vai atraidīt bērna vai aizgādnībā esošās personas vārdā viņam piekritušo mantojumu, lēmumu par bērna vai aizgādnībā esošai personai piederošās m</w:t>
      </w:r>
      <w:r w:rsidR="003C5FAA" w:rsidRPr="00090CDE">
        <w:rPr>
          <w:sz w:val="23"/>
          <w:szCs w:val="23"/>
        </w:rPr>
        <w:t>antas atsavināšanu)</w:t>
      </w:r>
      <w:r w:rsidR="003C5FAA" w:rsidRPr="00090CDE">
        <w:rPr>
          <w:sz w:val="28"/>
          <w:szCs w:val="28"/>
        </w:rPr>
        <w:t>. Proti,</w:t>
      </w:r>
      <w:r w:rsidR="00E9356F" w:rsidRPr="00090CDE">
        <w:rPr>
          <w:sz w:val="28"/>
          <w:szCs w:val="28"/>
        </w:rPr>
        <w:t xml:space="preserve"> 2013.gadā bāriņtiesas pieņēmušas 1393 lēmumus, savukārt 2014.gadā bāriņtiesass pieņēmušas 1354 lēmumus. Konstatēts, ka </w:t>
      </w:r>
      <w:r w:rsidR="003C5FAA" w:rsidRPr="00090CDE">
        <w:rPr>
          <w:sz w:val="28"/>
          <w:szCs w:val="28"/>
        </w:rPr>
        <w:t>201</w:t>
      </w:r>
      <w:r w:rsidR="00E9356F" w:rsidRPr="00090CDE">
        <w:rPr>
          <w:sz w:val="28"/>
          <w:szCs w:val="28"/>
        </w:rPr>
        <w:t>5</w:t>
      </w:r>
      <w:r w:rsidR="00FD41FB" w:rsidRPr="00090CDE">
        <w:rPr>
          <w:sz w:val="28"/>
          <w:szCs w:val="28"/>
        </w:rPr>
        <w:t>.gadā bāri</w:t>
      </w:r>
      <w:r w:rsidR="003C5FAA" w:rsidRPr="00090CDE">
        <w:rPr>
          <w:sz w:val="28"/>
          <w:szCs w:val="28"/>
        </w:rPr>
        <w:t>ņ</w:t>
      </w:r>
      <w:r w:rsidR="00E9356F" w:rsidRPr="00090CDE">
        <w:rPr>
          <w:sz w:val="28"/>
          <w:szCs w:val="28"/>
        </w:rPr>
        <w:t>tiesas pieņēmušas attiecīgi 1358</w:t>
      </w:r>
      <w:r w:rsidR="00FD41FB" w:rsidRPr="00090CDE">
        <w:rPr>
          <w:sz w:val="28"/>
          <w:szCs w:val="28"/>
        </w:rPr>
        <w:t xml:space="preserve"> lēmumus mantisko inter</w:t>
      </w:r>
      <w:r w:rsidR="003C5FAA" w:rsidRPr="00090CDE">
        <w:rPr>
          <w:sz w:val="28"/>
          <w:szCs w:val="28"/>
        </w:rPr>
        <w:t>ešu nodrošināšanai, t.i.</w:t>
      </w:r>
      <w:r w:rsidR="00E9356F" w:rsidRPr="00090CDE">
        <w:rPr>
          <w:sz w:val="28"/>
          <w:szCs w:val="28"/>
        </w:rPr>
        <w:t xml:space="preserve"> tikai par 4 lēmumiem vairāk nekā 2014</w:t>
      </w:r>
      <w:r w:rsidR="00FD41FB" w:rsidRPr="00090CDE">
        <w:rPr>
          <w:sz w:val="28"/>
          <w:szCs w:val="28"/>
        </w:rPr>
        <w:t>.gadā.</w:t>
      </w:r>
    </w:p>
    <w:p w:rsidR="00D50BF4" w:rsidRPr="00090CDE" w:rsidRDefault="00041BF8" w:rsidP="00F94753">
      <w:pPr>
        <w:spacing w:after="0"/>
        <w:ind w:firstLine="720"/>
        <w:rPr>
          <w:sz w:val="28"/>
          <w:szCs w:val="28"/>
        </w:rPr>
      </w:pPr>
      <w:r w:rsidRPr="00090CDE">
        <w:rPr>
          <w:sz w:val="28"/>
          <w:szCs w:val="28"/>
        </w:rPr>
        <w:t xml:space="preserve">Apkopojot datus, konstatēts, ka, </w:t>
      </w:r>
      <w:r w:rsidR="007548BC" w:rsidRPr="00090CDE">
        <w:rPr>
          <w:sz w:val="28"/>
          <w:szCs w:val="28"/>
        </w:rPr>
        <w:t>laika periodā no 2012.gada līdz 2013.gadam</w:t>
      </w:r>
      <w:r w:rsidR="00AB77C8" w:rsidRPr="00090CDE">
        <w:rPr>
          <w:sz w:val="28"/>
          <w:szCs w:val="28"/>
        </w:rPr>
        <w:t xml:space="preserve"> bāriņtiesu sniegtie dati par bērniem</w:t>
      </w:r>
      <w:r w:rsidRPr="00090CDE">
        <w:rPr>
          <w:sz w:val="28"/>
          <w:szCs w:val="28"/>
        </w:rPr>
        <w:t>, attiecībā uz kuriem bāriņtiesas pieņēmušas Bāriņtiesu likuma 50.pantā noteiktajos gadījumos atzinumu par bērna aizgādības īstenošanu vai saskarsmes tiesības i</w:t>
      </w:r>
      <w:r w:rsidR="00AB77C8" w:rsidRPr="00090CDE">
        <w:rPr>
          <w:sz w:val="28"/>
          <w:szCs w:val="28"/>
        </w:rPr>
        <w:t>zmantošanas kārtības noteikšanu, ir skaitliski līdzvērtīgi. Proti,</w:t>
      </w:r>
      <w:r w:rsidRPr="00090CDE">
        <w:rPr>
          <w:sz w:val="28"/>
          <w:szCs w:val="28"/>
        </w:rPr>
        <w:t xml:space="preserve"> 201</w:t>
      </w:r>
      <w:r w:rsidR="00AB77C8" w:rsidRPr="00090CDE">
        <w:rPr>
          <w:sz w:val="28"/>
          <w:szCs w:val="28"/>
        </w:rPr>
        <w:t>2</w:t>
      </w:r>
      <w:r w:rsidRPr="00090CDE">
        <w:rPr>
          <w:sz w:val="28"/>
          <w:szCs w:val="28"/>
        </w:rPr>
        <w:t>.gadā bērnu interesēs atzinums pieņemts par</w:t>
      </w:r>
      <w:r w:rsidR="00AB77C8" w:rsidRPr="00090CDE">
        <w:rPr>
          <w:sz w:val="28"/>
          <w:szCs w:val="28"/>
        </w:rPr>
        <w:t xml:space="preserve"> 826 bērniem, 2013.gadā par</w:t>
      </w:r>
      <w:r w:rsidRPr="00090CDE">
        <w:rPr>
          <w:sz w:val="28"/>
          <w:szCs w:val="28"/>
        </w:rPr>
        <w:t xml:space="preserve"> 831 bērnu, savukārt 2014.gadā par 824 bērniem. </w:t>
      </w:r>
      <w:r w:rsidR="007548BC" w:rsidRPr="00090CDE">
        <w:rPr>
          <w:sz w:val="28"/>
          <w:szCs w:val="28"/>
        </w:rPr>
        <w:t>Savukārt 2015.gadā vērojams neliels bērnu attiecībā, uz kuriem pieņemts atzinums pēc tiesas pieprasījuma, skaita samazinājums, proti, tie ir 797 bērni, t.i. par 27 bērniem mazāk nekā 2014.gadā.</w:t>
      </w:r>
    </w:p>
    <w:p w:rsidR="00DD4E8A" w:rsidRPr="00090CDE" w:rsidRDefault="00D50BF4" w:rsidP="00DD4E8A">
      <w:pPr>
        <w:spacing w:after="0"/>
        <w:ind w:firstLine="720"/>
        <w:rPr>
          <w:sz w:val="28"/>
          <w:szCs w:val="28"/>
        </w:rPr>
      </w:pPr>
      <w:r w:rsidRPr="00090CDE">
        <w:rPr>
          <w:sz w:val="28"/>
          <w:szCs w:val="28"/>
        </w:rPr>
        <w:t xml:space="preserve">Konstatēts, ka joprojām vērojama tendence pakāpeniski samazināties to gadījumu skaitam, kad bāriņtiesa, aizstāvot bērna personiskās intereses, lemj par valsts sociālo pabalstu, apgādnieka zaudējuma pensijas un atbalsta ar celiakiju slimiem bērniem, kuriem nav noteikta invaliditāte, izmaksu pārtraukšanu personai, </w:t>
      </w:r>
      <w:r w:rsidRPr="00090CDE">
        <w:rPr>
          <w:sz w:val="28"/>
          <w:szCs w:val="28"/>
        </w:rPr>
        <w:lastRenderedPageBreak/>
        <w:t xml:space="preserve">kura bērnu neaudzina, un izmaksāšanu personai, kura faktiski audzina bērnu, vai izmaksāšanu pašam bērnam, ja viņš sasniedzis 15 gadu vecumu. </w:t>
      </w:r>
      <w:r w:rsidRPr="00090CDE">
        <w:rPr>
          <w:sz w:val="26"/>
          <w:szCs w:val="26"/>
        </w:rPr>
        <w:t>(atbilstoši Bāriņtiesu likuma 18.panta 4.un 5.punktā, Valsts sociālo pabalstu likuma 16.panta trešajā daļā paredzētajam.)</w:t>
      </w:r>
      <w:r w:rsidR="00FE5B7F" w:rsidRPr="00090CDE">
        <w:rPr>
          <w:sz w:val="26"/>
          <w:szCs w:val="26"/>
        </w:rPr>
        <w:t>.</w:t>
      </w:r>
      <w:r w:rsidR="00F94753" w:rsidRPr="00090CDE">
        <w:rPr>
          <w:sz w:val="28"/>
          <w:szCs w:val="28"/>
        </w:rPr>
        <w:t xml:space="preserve"> 2013</w:t>
      </w:r>
      <w:r w:rsidRPr="00090CDE">
        <w:rPr>
          <w:sz w:val="28"/>
          <w:szCs w:val="28"/>
        </w:rPr>
        <w:t>.gadā bāriņtiesas pieņēmuša</w:t>
      </w:r>
      <w:r w:rsidR="00F94753" w:rsidRPr="00090CDE">
        <w:rPr>
          <w:sz w:val="28"/>
          <w:szCs w:val="28"/>
        </w:rPr>
        <w:t>s šādus lēmumus attiecībā uz 516 personām, savukārt 2014</w:t>
      </w:r>
      <w:r w:rsidRPr="00090CDE">
        <w:rPr>
          <w:sz w:val="28"/>
          <w:szCs w:val="28"/>
        </w:rPr>
        <w:t>.gadā pieņēmušas</w:t>
      </w:r>
      <w:r w:rsidR="00F94753" w:rsidRPr="00090CDE">
        <w:rPr>
          <w:sz w:val="28"/>
          <w:szCs w:val="28"/>
        </w:rPr>
        <w:t xml:space="preserve"> attiecīgu lēmumu, aizstāvot 470 bērnu intereses, t.i. par 46 bērniem mazāk nekā iepriekšējā gadā. </w:t>
      </w:r>
      <w:r w:rsidR="00FE5B7F" w:rsidRPr="00090CDE">
        <w:rPr>
          <w:sz w:val="28"/>
          <w:szCs w:val="28"/>
        </w:rPr>
        <w:t>Konstatēts, ka 2015.gadā minētā satura lēmums pieņemts par 466 bērniem, t.i. par 4 bērniem mazāk nekā iepriekšējā gadā.</w:t>
      </w:r>
    </w:p>
    <w:p w:rsidR="00D803BC" w:rsidRPr="00090CDE" w:rsidRDefault="00FE5B7F" w:rsidP="00DD4E8A">
      <w:pPr>
        <w:spacing w:after="0"/>
        <w:ind w:firstLine="720"/>
        <w:rPr>
          <w:sz w:val="28"/>
          <w:szCs w:val="28"/>
        </w:rPr>
      </w:pPr>
      <w:r w:rsidRPr="00090CDE">
        <w:rPr>
          <w:sz w:val="28"/>
          <w:szCs w:val="28"/>
        </w:rPr>
        <w:t>Bāriņtiesu likuma 17.pants paredz, ka bāriņtiesa, aizstāvot bērna personiskās intereses attiecībās ar vecākiem, aizbildņiem un citām personām, nosūta konsultācijas saņemšanai pie ģimenes ārsta, psihologa vai cita speciālista bērnu, ja bērna vecāki vai aizbildnis nepiekrīt konsultācijas saņemšanai.</w:t>
      </w:r>
      <w:r w:rsidR="00D803BC" w:rsidRPr="00090CDE">
        <w:rPr>
          <w:sz w:val="28"/>
          <w:szCs w:val="28"/>
        </w:rPr>
        <w:t xml:space="preserve"> Apkopojot statistikas datus par pēdējiem četiem gadiem, konstatēts, ka minētā satura lēmums 2012.gadā pieņemts par 193 bērniem, 2013.gadā </w:t>
      </w:r>
      <w:r w:rsidR="005867F9">
        <w:rPr>
          <w:sz w:val="28"/>
          <w:szCs w:val="28"/>
        </w:rPr>
        <w:t>par 181 bērnu, 2014.gadā par 20</w:t>
      </w:r>
      <w:r w:rsidR="00D803BC" w:rsidRPr="00090CDE">
        <w:rPr>
          <w:sz w:val="28"/>
          <w:szCs w:val="28"/>
        </w:rPr>
        <w:t xml:space="preserve">4 bērniem, savukārt 2015.gadā kopumā  par 119 bērniem. </w:t>
      </w:r>
    </w:p>
    <w:p w:rsidR="00DD4E8A" w:rsidRPr="00090CDE" w:rsidRDefault="00D803BC" w:rsidP="00DD4E8A">
      <w:pPr>
        <w:spacing w:after="0"/>
        <w:ind w:firstLine="720"/>
        <w:rPr>
          <w:sz w:val="28"/>
          <w:szCs w:val="28"/>
        </w:rPr>
      </w:pPr>
      <w:r w:rsidRPr="00090CDE">
        <w:rPr>
          <w:sz w:val="28"/>
          <w:szCs w:val="28"/>
        </w:rPr>
        <w:t xml:space="preserve">Detalizētu </w:t>
      </w:r>
      <w:r w:rsidR="00DD4E8A" w:rsidRPr="00090CDE">
        <w:rPr>
          <w:sz w:val="28"/>
          <w:szCs w:val="28"/>
        </w:rPr>
        <w:t xml:space="preserve"> apkopojumu par citiem bāriņties</w:t>
      </w:r>
      <w:r w:rsidRPr="00090CDE">
        <w:rPr>
          <w:sz w:val="28"/>
          <w:szCs w:val="28"/>
        </w:rPr>
        <w:t>u pieņemtajiem lēmumiem skatīt 3</w:t>
      </w:r>
      <w:r w:rsidR="00DD4E8A" w:rsidRPr="00090CDE">
        <w:rPr>
          <w:sz w:val="28"/>
          <w:szCs w:val="28"/>
        </w:rPr>
        <w:t>.attēlā.</w:t>
      </w:r>
    </w:p>
    <w:p w:rsidR="003D55CF" w:rsidRPr="00090CDE" w:rsidRDefault="008E2FCB" w:rsidP="003D55CF">
      <w:pPr>
        <w:pStyle w:val="Heading1"/>
      </w:pPr>
      <w:bookmarkStart w:id="37" w:name="_Toc455139009"/>
      <w:r w:rsidRPr="00090CDE">
        <w:rPr>
          <w:sz w:val="32"/>
        </w:rPr>
        <w:t>10</w:t>
      </w:r>
      <w:r w:rsidR="007E5DE0" w:rsidRPr="00090CDE">
        <w:rPr>
          <w:sz w:val="32"/>
        </w:rPr>
        <w:t>.</w:t>
      </w:r>
      <w:r w:rsidR="003D55CF" w:rsidRPr="00090CDE">
        <w:rPr>
          <w:sz w:val="32"/>
        </w:rPr>
        <w:t>Pārskats par bāriņtiesas lēmumu u</w:t>
      </w:r>
      <w:r w:rsidR="00F94753" w:rsidRPr="00090CDE">
        <w:rPr>
          <w:sz w:val="32"/>
        </w:rPr>
        <w:t>n faktiskās rīcības pārsūdzību A</w:t>
      </w:r>
      <w:r w:rsidR="003D55CF" w:rsidRPr="00090CDE">
        <w:rPr>
          <w:sz w:val="32"/>
        </w:rPr>
        <w:t>dministratīvajā rajonā tiesā</w:t>
      </w:r>
      <w:bookmarkEnd w:id="37"/>
    </w:p>
    <w:p w:rsidR="003D55CF" w:rsidRPr="00090CDE" w:rsidRDefault="003D55CF" w:rsidP="003D55CF">
      <w:pPr>
        <w:rPr>
          <w:sz w:val="10"/>
          <w:szCs w:val="10"/>
        </w:rPr>
      </w:pPr>
    </w:p>
    <w:p w:rsidR="00E35FB6" w:rsidRPr="00090CDE" w:rsidRDefault="00DA56AE" w:rsidP="00E35FB6">
      <w:pPr>
        <w:spacing w:after="0"/>
        <w:ind w:firstLine="720"/>
        <w:rPr>
          <w:rFonts w:eastAsia="Times New Roman" w:cs="Times New Roman"/>
          <w:sz w:val="28"/>
          <w:szCs w:val="28"/>
          <w:lang w:eastAsia="lv-LV"/>
        </w:rPr>
      </w:pPr>
      <w:r w:rsidRPr="00090CDE">
        <w:rPr>
          <w:rFonts w:eastAsia="Times New Roman" w:cs="Times New Roman"/>
          <w:sz w:val="28"/>
          <w:szCs w:val="28"/>
          <w:lang w:eastAsia="lv-LV"/>
        </w:rPr>
        <w:t>Administratīvās rajona tiesas</w:t>
      </w:r>
      <w:r w:rsidR="00090E50" w:rsidRPr="00090CDE">
        <w:rPr>
          <w:rFonts w:eastAsia="Times New Roman" w:cs="Times New Roman"/>
          <w:sz w:val="28"/>
          <w:szCs w:val="28"/>
          <w:lang w:eastAsia="lv-LV"/>
        </w:rPr>
        <w:t xml:space="preserve"> </w:t>
      </w:r>
      <w:r w:rsidR="00090E50" w:rsidRPr="00090CDE">
        <w:rPr>
          <w:bCs/>
          <w:sz w:val="28"/>
          <w:szCs w:val="28"/>
        </w:rPr>
        <w:t xml:space="preserve">(turpmāk </w:t>
      </w:r>
      <w:r w:rsidR="00090E50" w:rsidRPr="00090CDE">
        <w:rPr>
          <w:sz w:val="28"/>
          <w:szCs w:val="28"/>
        </w:rPr>
        <w:t xml:space="preserve">– tiesa) </w:t>
      </w:r>
      <w:r w:rsidRPr="00090CDE">
        <w:rPr>
          <w:rFonts w:eastAsia="Times New Roman" w:cs="Times New Roman"/>
          <w:sz w:val="28"/>
          <w:szCs w:val="28"/>
          <w:lang w:eastAsia="lv-LV"/>
        </w:rPr>
        <w:t xml:space="preserve">kompetencē ir izvērtēt bāriņtiesas kā aizbildnības un aizgādnības iestādes pieņemtā lēmuma (administratīvā akta) un faktiskās rīcības tiesiskumu un pamatotību. </w:t>
      </w:r>
      <w:r w:rsidRPr="00090CDE">
        <w:rPr>
          <w:sz w:val="28"/>
          <w:szCs w:val="28"/>
        </w:rPr>
        <w:t>Atbilstoši Bāriņtiesu likuma 49.panta otrajā daļā paredzētajam, bāriņtiesas lēmumu ieinteresētā persona var pārsūdzēt tiesā Administratīvā procesa likuma noteiktajā kārtībā.</w:t>
      </w:r>
    </w:p>
    <w:p w:rsidR="00AE01C0" w:rsidRPr="00090CDE" w:rsidRDefault="00E35FB6" w:rsidP="00E35FB6">
      <w:pPr>
        <w:spacing w:after="0"/>
        <w:ind w:firstLine="720"/>
        <w:rPr>
          <w:sz w:val="28"/>
          <w:szCs w:val="28"/>
        </w:rPr>
      </w:pPr>
      <w:r w:rsidRPr="00090CDE">
        <w:rPr>
          <w:sz w:val="28"/>
          <w:szCs w:val="28"/>
        </w:rPr>
        <w:t>Savukārt Administratīvā procesa</w:t>
      </w:r>
      <w:r w:rsidR="005C5158" w:rsidRPr="00090CDE">
        <w:rPr>
          <w:sz w:val="28"/>
          <w:szCs w:val="28"/>
        </w:rPr>
        <w:t xml:space="preserve"> likuma 103.panta pirmajā daļā</w:t>
      </w:r>
      <w:r w:rsidR="00DE253D" w:rsidRPr="00090CDE">
        <w:rPr>
          <w:sz w:val="28"/>
          <w:szCs w:val="28"/>
        </w:rPr>
        <w:t xml:space="preserve"> noteikts, ka administratīvā procesa tiesā būtība ir tiesas kontrole pār iestādes izdota administratīvā akta vai iestādes faktiskās rīcības tiesiskumu vai lietderības apsvērumiem rīcības brīvības ietvaros. </w:t>
      </w:r>
      <w:r w:rsidR="005D10E9" w:rsidRPr="00090CDE">
        <w:rPr>
          <w:sz w:val="28"/>
          <w:szCs w:val="28"/>
        </w:rPr>
        <w:t>Tiesiskums tiek vērtēts</w:t>
      </w:r>
      <w:r w:rsidR="00A146BF" w:rsidRPr="00090CDE">
        <w:rPr>
          <w:sz w:val="28"/>
          <w:szCs w:val="28"/>
        </w:rPr>
        <w:t xml:space="preserve">, pārbaudot, vai iestāde ir rīkojusies saskaņā ar procesuālajām un materiālajām tiesību normām. Lietderības apsvērumi tiek vērtēti, pārbaudot, vai administratīvais akts izdots pamatoti un vai tas pārlieku neierobežo personas intereses, samērojot tās ar sabiedrības interešu aizsardzību. </w:t>
      </w:r>
      <w:r w:rsidR="005C5158" w:rsidRPr="00090CDE">
        <w:rPr>
          <w:sz w:val="28"/>
          <w:szCs w:val="28"/>
        </w:rPr>
        <w:t>Tiesa administratīvajā procesā, pildot savus pienākumus, objektīvi noskaidro lietas apstākļus un dod tiem juridisku vērtējumu.</w:t>
      </w:r>
    </w:p>
    <w:p w:rsidR="00C8569F" w:rsidRPr="00090CDE" w:rsidRDefault="00090E50" w:rsidP="00E35FB6">
      <w:pPr>
        <w:spacing w:after="0"/>
        <w:ind w:firstLine="720"/>
        <w:rPr>
          <w:sz w:val="28"/>
          <w:szCs w:val="28"/>
        </w:rPr>
      </w:pPr>
      <w:r w:rsidRPr="00090CDE">
        <w:rPr>
          <w:sz w:val="28"/>
          <w:szCs w:val="28"/>
        </w:rPr>
        <w:t xml:space="preserve">Tiesa </w:t>
      </w:r>
      <w:r w:rsidR="00C763D2" w:rsidRPr="00090CDE">
        <w:rPr>
          <w:sz w:val="28"/>
          <w:szCs w:val="28"/>
        </w:rPr>
        <w:t>administratīvo lietu ierosina pēc pieteicēja pieteikuma.</w:t>
      </w:r>
      <w:r w:rsidR="00FC27E7" w:rsidRPr="00090CDE">
        <w:rPr>
          <w:sz w:val="28"/>
          <w:szCs w:val="28"/>
        </w:rPr>
        <w:t xml:space="preserve"> Saskaņā ar</w:t>
      </w:r>
      <w:r w:rsidR="00C8569F" w:rsidRPr="00090CDE">
        <w:rPr>
          <w:sz w:val="28"/>
          <w:szCs w:val="28"/>
        </w:rPr>
        <w:t xml:space="preserve"> Administ</w:t>
      </w:r>
      <w:r w:rsidR="0044183D" w:rsidRPr="00090CDE">
        <w:rPr>
          <w:sz w:val="28"/>
          <w:szCs w:val="28"/>
        </w:rPr>
        <w:t>r</w:t>
      </w:r>
      <w:r w:rsidR="00C8569F" w:rsidRPr="00090CDE">
        <w:rPr>
          <w:sz w:val="28"/>
          <w:szCs w:val="28"/>
        </w:rPr>
        <w:t>a</w:t>
      </w:r>
      <w:r w:rsidR="0044183D" w:rsidRPr="00090CDE">
        <w:rPr>
          <w:sz w:val="28"/>
          <w:szCs w:val="28"/>
        </w:rPr>
        <w:t>tīvā procesa likuma normās paredzēto pieteikuma priek</w:t>
      </w:r>
      <w:r w:rsidR="00C8569F" w:rsidRPr="00090CDE">
        <w:rPr>
          <w:sz w:val="28"/>
          <w:szCs w:val="28"/>
        </w:rPr>
        <w:t>šmetu administ</w:t>
      </w:r>
      <w:r w:rsidR="0044183D" w:rsidRPr="00090CDE">
        <w:rPr>
          <w:sz w:val="28"/>
          <w:szCs w:val="28"/>
        </w:rPr>
        <w:t>r</w:t>
      </w:r>
      <w:r w:rsidR="00C8569F" w:rsidRPr="00090CDE">
        <w:rPr>
          <w:sz w:val="28"/>
          <w:szCs w:val="28"/>
        </w:rPr>
        <w:t>a</w:t>
      </w:r>
      <w:r w:rsidR="0044183D" w:rsidRPr="00090CDE">
        <w:rPr>
          <w:sz w:val="28"/>
          <w:szCs w:val="28"/>
        </w:rPr>
        <w:t>tīvā procesa ietvaros, persona</w:t>
      </w:r>
      <w:r w:rsidR="00C8569F" w:rsidRPr="00090CDE">
        <w:rPr>
          <w:sz w:val="28"/>
          <w:szCs w:val="28"/>
        </w:rPr>
        <w:t>i</w:t>
      </w:r>
      <w:r w:rsidR="0044183D" w:rsidRPr="00090CDE">
        <w:rPr>
          <w:sz w:val="28"/>
          <w:szCs w:val="28"/>
        </w:rPr>
        <w:t>, īstenojot savu, bērna, personas ar ierobežotu rīcībspēju</w:t>
      </w:r>
      <w:r w:rsidR="00C8569F" w:rsidRPr="00090CDE">
        <w:rPr>
          <w:sz w:val="28"/>
          <w:szCs w:val="28"/>
        </w:rPr>
        <w:t xml:space="preserve"> tiesību un interešu aizsardzību tiesā, pastāv iespēja iesniegt tiesā pieteikumu par administratīvā akta:</w:t>
      </w:r>
    </w:p>
    <w:p w:rsidR="00C8569F" w:rsidRPr="00090CDE" w:rsidRDefault="00C8569F" w:rsidP="00C8569F">
      <w:pPr>
        <w:pStyle w:val="ListParagraph"/>
        <w:numPr>
          <w:ilvl w:val="0"/>
          <w:numId w:val="16"/>
        </w:numPr>
        <w:spacing w:after="0"/>
        <w:ind w:left="993" w:hanging="284"/>
        <w:rPr>
          <w:sz w:val="25"/>
          <w:szCs w:val="25"/>
        </w:rPr>
      </w:pPr>
      <w:r w:rsidRPr="00090CDE">
        <w:rPr>
          <w:sz w:val="25"/>
          <w:szCs w:val="25"/>
        </w:rPr>
        <w:t>izdošanu;</w:t>
      </w:r>
    </w:p>
    <w:p w:rsidR="00C8569F" w:rsidRPr="00090CDE" w:rsidRDefault="00C8569F" w:rsidP="00C8569F">
      <w:pPr>
        <w:pStyle w:val="ListParagraph"/>
        <w:numPr>
          <w:ilvl w:val="0"/>
          <w:numId w:val="16"/>
        </w:numPr>
        <w:spacing w:after="0"/>
        <w:ind w:left="993" w:hanging="284"/>
        <w:rPr>
          <w:sz w:val="25"/>
          <w:szCs w:val="25"/>
        </w:rPr>
      </w:pPr>
      <w:r w:rsidRPr="00090CDE">
        <w:rPr>
          <w:sz w:val="25"/>
          <w:szCs w:val="25"/>
        </w:rPr>
        <w:t>atcelšanu (atcelšanu pilnībā vai daļā, arī grozīšanu);</w:t>
      </w:r>
    </w:p>
    <w:p w:rsidR="00C8569F" w:rsidRPr="00090CDE" w:rsidRDefault="009C0593" w:rsidP="00C8569F">
      <w:pPr>
        <w:pStyle w:val="ListParagraph"/>
        <w:numPr>
          <w:ilvl w:val="0"/>
          <w:numId w:val="16"/>
        </w:numPr>
        <w:spacing w:after="0"/>
        <w:ind w:left="993" w:hanging="284"/>
        <w:rPr>
          <w:sz w:val="25"/>
          <w:szCs w:val="25"/>
        </w:rPr>
      </w:pPr>
      <w:r w:rsidRPr="00090CDE">
        <w:rPr>
          <w:sz w:val="25"/>
          <w:szCs w:val="25"/>
        </w:rPr>
        <w:lastRenderedPageBreak/>
        <w:t>spēkā esamību (atzīšanu par spēkā neesošu, atzīšanu par spēku zaudējušu, arī administratīvā akta atzīšanu par spēkā esošu);</w:t>
      </w:r>
    </w:p>
    <w:p w:rsidR="009C0593" w:rsidRPr="00090CDE" w:rsidRDefault="009C0593" w:rsidP="00C8569F">
      <w:pPr>
        <w:pStyle w:val="ListParagraph"/>
        <w:numPr>
          <w:ilvl w:val="0"/>
          <w:numId w:val="16"/>
        </w:numPr>
        <w:spacing w:after="0"/>
        <w:ind w:left="993" w:hanging="284"/>
        <w:rPr>
          <w:sz w:val="25"/>
          <w:szCs w:val="25"/>
        </w:rPr>
      </w:pPr>
      <w:r w:rsidRPr="00090CDE">
        <w:rPr>
          <w:sz w:val="25"/>
          <w:szCs w:val="25"/>
        </w:rPr>
        <w:t>atzīšanu par prettiesisku;</w:t>
      </w:r>
    </w:p>
    <w:p w:rsidR="009C0593" w:rsidRPr="00090CDE" w:rsidRDefault="009C0593" w:rsidP="00C8569F">
      <w:pPr>
        <w:pStyle w:val="ListParagraph"/>
        <w:numPr>
          <w:ilvl w:val="0"/>
          <w:numId w:val="16"/>
        </w:numPr>
        <w:spacing w:after="0"/>
        <w:ind w:left="993" w:hanging="284"/>
        <w:rPr>
          <w:sz w:val="25"/>
          <w:szCs w:val="25"/>
        </w:rPr>
      </w:pPr>
      <w:r w:rsidRPr="00090CDE">
        <w:rPr>
          <w:sz w:val="25"/>
          <w:szCs w:val="25"/>
        </w:rPr>
        <w:t>izdošanas procesā pieļauta procesuālā pārkāpuma konstatēšanu</w:t>
      </w:r>
      <w:r w:rsidR="006C6DF4" w:rsidRPr="00090CDE">
        <w:rPr>
          <w:sz w:val="25"/>
          <w:szCs w:val="25"/>
        </w:rPr>
        <w:t>.</w:t>
      </w:r>
    </w:p>
    <w:p w:rsidR="0044183D" w:rsidRPr="00090CDE" w:rsidRDefault="0044183D" w:rsidP="00E35FB6">
      <w:pPr>
        <w:spacing w:after="0"/>
        <w:ind w:firstLine="720"/>
        <w:rPr>
          <w:sz w:val="16"/>
          <w:szCs w:val="16"/>
        </w:rPr>
      </w:pPr>
    </w:p>
    <w:p w:rsidR="00C846A7" w:rsidRPr="00090CDE" w:rsidRDefault="0050259C" w:rsidP="00995480">
      <w:pPr>
        <w:spacing w:after="0"/>
        <w:ind w:firstLine="709"/>
        <w:rPr>
          <w:sz w:val="28"/>
          <w:szCs w:val="28"/>
        </w:rPr>
      </w:pPr>
      <w:r w:rsidRPr="00090CDE">
        <w:rPr>
          <w:sz w:val="28"/>
          <w:szCs w:val="28"/>
        </w:rPr>
        <w:t>Bāriņtiesu pārskatu par bāriņtiesu darbu 2013.gada inspekcijas veiktajā analīzē (piecu gadu periodā) norādī</w:t>
      </w:r>
      <w:r w:rsidR="00907320" w:rsidRPr="00090CDE">
        <w:rPr>
          <w:sz w:val="28"/>
          <w:szCs w:val="28"/>
        </w:rPr>
        <w:t xml:space="preserve">ts uz </w:t>
      </w:r>
      <w:r w:rsidRPr="00090CDE">
        <w:rPr>
          <w:sz w:val="28"/>
          <w:szCs w:val="28"/>
        </w:rPr>
        <w:t>pārsūdzēto bāriņtiesas lēmumu skaita pieaugumu, sāko</w:t>
      </w:r>
      <w:r w:rsidR="00907320" w:rsidRPr="00090CDE">
        <w:rPr>
          <w:sz w:val="28"/>
          <w:szCs w:val="28"/>
        </w:rPr>
        <w:t>t ar 2011.gadu ar tendenci pakāpeniski pieaugt līdz pat 2013.gadam.</w:t>
      </w:r>
      <w:r w:rsidRPr="00090CDE">
        <w:rPr>
          <w:sz w:val="28"/>
          <w:szCs w:val="28"/>
        </w:rPr>
        <w:t xml:space="preserve"> </w:t>
      </w:r>
    </w:p>
    <w:p w:rsidR="00C846A7" w:rsidRPr="00090CDE" w:rsidRDefault="005867F9" w:rsidP="00C846A7">
      <w:pPr>
        <w:ind w:firstLine="720"/>
        <w:jc w:val="right"/>
        <w:rPr>
          <w:b/>
          <w:sz w:val="26"/>
          <w:szCs w:val="26"/>
        </w:rPr>
      </w:pPr>
      <w:r>
        <w:rPr>
          <w:b/>
          <w:sz w:val="26"/>
          <w:szCs w:val="26"/>
        </w:rPr>
        <w:t>38</w:t>
      </w:r>
      <w:r w:rsidR="00C846A7" w:rsidRPr="00090CDE">
        <w:rPr>
          <w:b/>
          <w:sz w:val="26"/>
          <w:szCs w:val="26"/>
        </w:rPr>
        <w:t>.diagramma</w:t>
      </w:r>
    </w:p>
    <w:p w:rsidR="00C846A7" w:rsidRPr="00090CDE" w:rsidRDefault="00C846A7" w:rsidP="00A90349">
      <w:pPr>
        <w:spacing w:after="0"/>
        <w:ind w:firstLine="709"/>
        <w:jc w:val="center"/>
        <w:rPr>
          <w:sz w:val="28"/>
          <w:szCs w:val="28"/>
        </w:rPr>
      </w:pPr>
      <w:r w:rsidRPr="00090CDE">
        <w:rPr>
          <w:noProof/>
          <w:lang w:val="en-GB" w:eastAsia="en-GB"/>
        </w:rPr>
        <w:drawing>
          <wp:inline distT="0" distB="0" distL="0" distR="0" wp14:anchorId="44392CBC" wp14:editId="6075F09A">
            <wp:extent cx="4912468" cy="2840355"/>
            <wp:effectExtent l="76200" t="76200" r="154940" b="131445"/>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C846A7" w:rsidRPr="00090CDE" w:rsidRDefault="00C846A7" w:rsidP="00995480">
      <w:pPr>
        <w:spacing w:after="0"/>
        <w:ind w:firstLine="709"/>
        <w:rPr>
          <w:sz w:val="28"/>
          <w:szCs w:val="28"/>
        </w:rPr>
      </w:pPr>
    </w:p>
    <w:p w:rsidR="00A41BE9" w:rsidRPr="00090CDE" w:rsidRDefault="0050259C" w:rsidP="00A90349">
      <w:pPr>
        <w:spacing w:after="0"/>
        <w:ind w:firstLine="709"/>
        <w:rPr>
          <w:sz w:val="28"/>
          <w:szCs w:val="28"/>
        </w:rPr>
      </w:pPr>
      <w:r w:rsidRPr="00090CDE">
        <w:rPr>
          <w:sz w:val="28"/>
          <w:szCs w:val="28"/>
        </w:rPr>
        <w:t>Apkopojot bāriņtiesu iesniegtos datus par bāriņtiesas lēmumu pārsūdzību 2014.gadā</w:t>
      </w:r>
      <w:r w:rsidR="00907320" w:rsidRPr="00090CDE">
        <w:rPr>
          <w:sz w:val="28"/>
          <w:szCs w:val="28"/>
        </w:rPr>
        <w:t>, salīdzinājumā ar diviem iepriekšējiem gadiem, kon</w:t>
      </w:r>
      <w:r w:rsidR="00962332" w:rsidRPr="00090CDE">
        <w:rPr>
          <w:sz w:val="28"/>
          <w:szCs w:val="28"/>
        </w:rPr>
        <w:t>statējamas pārsūdzības tendenču</w:t>
      </w:r>
      <w:r w:rsidR="00907320" w:rsidRPr="00090CDE">
        <w:rPr>
          <w:sz w:val="28"/>
          <w:szCs w:val="28"/>
        </w:rPr>
        <w:t xml:space="preserve"> izmaiņas, proti, pārsūdzēto lēmumu skaita būtisk</w:t>
      </w:r>
      <w:r w:rsidR="005867F9">
        <w:rPr>
          <w:sz w:val="28"/>
          <w:szCs w:val="28"/>
        </w:rPr>
        <w:t>s samazinājums. Kā redzams 38</w:t>
      </w:r>
      <w:r w:rsidR="00CE0182" w:rsidRPr="00090CDE">
        <w:rPr>
          <w:sz w:val="28"/>
          <w:szCs w:val="28"/>
        </w:rPr>
        <w:t>.</w:t>
      </w:r>
      <w:r w:rsidR="00907320" w:rsidRPr="00090CDE">
        <w:rPr>
          <w:sz w:val="28"/>
          <w:szCs w:val="28"/>
        </w:rPr>
        <w:t>diagrammā, konstatēts, ka personas, uzskatot, ka bāriņtiesas lēmums radījis būtisku personas tiesību vai tiesisko interešu</w:t>
      </w:r>
      <w:r w:rsidR="00CE0182" w:rsidRPr="00090CDE">
        <w:rPr>
          <w:sz w:val="28"/>
          <w:szCs w:val="28"/>
        </w:rPr>
        <w:t xml:space="preserve"> aizskārumu, 2014.gadā administ</w:t>
      </w:r>
      <w:r w:rsidR="00907320" w:rsidRPr="00090CDE">
        <w:rPr>
          <w:sz w:val="28"/>
          <w:szCs w:val="28"/>
        </w:rPr>
        <w:t>r</w:t>
      </w:r>
      <w:r w:rsidR="00CE0182" w:rsidRPr="00090CDE">
        <w:rPr>
          <w:sz w:val="28"/>
          <w:szCs w:val="28"/>
        </w:rPr>
        <w:t>a</w:t>
      </w:r>
      <w:r w:rsidR="00907320" w:rsidRPr="00090CDE">
        <w:rPr>
          <w:sz w:val="28"/>
          <w:szCs w:val="28"/>
        </w:rPr>
        <w:t>tīvā procesa ietvaros 48 gadījumos izmantojušas tiesības vērsties tiesā, lai tā izvērtētu bāriņtiesas pieņemtā lēmuma tiesiskumu un pamatotību. Salīdzino</w:t>
      </w:r>
      <w:r w:rsidR="00261CA7" w:rsidRPr="00090CDE">
        <w:rPr>
          <w:sz w:val="28"/>
          <w:szCs w:val="28"/>
        </w:rPr>
        <w:t>ši</w:t>
      </w:r>
      <w:r w:rsidR="00907320" w:rsidRPr="00090CDE">
        <w:rPr>
          <w:sz w:val="28"/>
          <w:szCs w:val="28"/>
        </w:rPr>
        <w:t xml:space="preserve"> 2013.gada ietvaros 85 gadījumos personas izmantojušas šīs tiesības, savukārt 2012.gadā- 81 gadījumā.</w:t>
      </w:r>
      <w:r w:rsidR="004B03C9" w:rsidRPr="00090CDE">
        <w:rPr>
          <w:sz w:val="28"/>
          <w:szCs w:val="28"/>
        </w:rPr>
        <w:t xml:space="preserve"> Tādējādi 2014.gadā personas pārsūdzējušas par 37 lēmumiem mazāk nekā 2013.gadā un par 33 lēmumiem mazāk nekā 2012.gad</w:t>
      </w:r>
      <w:r w:rsidR="00F93CDA" w:rsidRPr="00090CDE">
        <w:rPr>
          <w:sz w:val="28"/>
          <w:szCs w:val="28"/>
        </w:rPr>
        <w:t>ā.</w:t>
      </w:r>
      <w:r w:rsidR="00C846A7" w:rsidRPr="00090CDE">
        <w:rPr>
          <w:sz w:val="28"/>
          <w:szCs w:val="28"/>
        </w:rPr>
        <w:t xml:space="preserve"> Savukārt 2015.gadā konstatēts atkal pārsūdzēto bāriņtiesas lēmumu skaita pieaugums, proti, 67 lēmumi pārsūdzēti tiesā, t.i. par 19 lēmumiem vairāk nekā 2014.gadā. </w:t>
      </w:r>
    </w:p>
    <w:p w:rsidR="00F93CDA" w:rsidRPr="00090CDE" w:rsidRDefault="00A90349" w:rsidP="00F93CDA">
      <w:pPr>
        <w:spacing w:after="0"/>
        <w:ind w:firstLine="709"/>
        <w:rPr>
          <w:sz w:val="28"/>
          <w:szCs w:val="28"/>
        </w:rPr>
      </w:pPr>
      <w:r w:rsidRPr="00090CDE">
        <w:rPr>
          <w:sz w:val="28"/>
          <w:szCs w:val="28"/>
        </w:rPr>
        <w:t>Vienlaikus konstatēts, ka 2015.gadā 39</w:t>
      </w:r>
      <w:r w:rsidR="00F93CDA" w:rsidRPr="00090CDE">
        <w:rPr>
          <w:sz w:val="28"/>
          <w:szCs w:val="28"/>
        </w:rPr>
        <w:t xml:space="preserve"> bāriņtiesas lēmumi ar tiesas  spriedumu atstāt</w:t>
      </w:r>
      <w:r w:rsidRPr="00090CDE">
        <w:rPr>
          <w:sz w:val="28"/>
          <w:szCs w:val="28"/>
        </w:rPr>
        <w:t>i spēkā, t.i. 58,20</w:t>
      </w:r>
      <w:r w:rsidR="00F93CDA" w:rsidRPr="00090CDE">
        <w:rPr>
          <w:sz w:val="28"/>
          <w:szCs w:val="28"/>
        </w:rPr>
        <w:t>% no kopējā pārsūdzēto lēmumu skaita. Salīdzinājumam i</w:t>
      </w:r>
      <w:r w:rsidRPr="00090CDE">
        <w:rPr>
          <w:sz w:val="28"/>
          <w:szCs w:val="28"/>
        </w:rPr>
        <w:t>epriekšējā gadā atstāti spēkā 68,75</w:t>
      </w:r>
      <w:r w:rsidR="00F93CDA" w:rsidRPr="00090CDE">
        <w:rPr>
          <w:sz w:val="28"/>
          <w:szCs w:val="28"/>
        </w:rPr>
        <w:t>% no kopējā pārsū</w:t>
      </w:r>
      <w:r w:rsidR="00F152F3" w:rsidRPr="00090CDE">
        <w:rPr>
          <w:sz w:val="28"/>
          <w:szCs w:val="28"/>
        </w:rPr>
        <w:t>dzēto lēmumu skaita. Vadoties pēc pārskatu</w:t>
      </w:r>
      <w:r w:rsidR="00F93CDA" w:rsidRPr="00090CDE">
        <w:rPr>
          <w:sz w:val="28"/>
          <w:szCs w:val="28"/>
        </w:rPr>
        <w:t xml:space="preserve"> da</w:t>
      </w:r>
      <w:r w:rsidR="00CE0182" w:rsidRPr="00090CDE">
        <w:rPr>
          <w:sz w:val="28"/>
          <w:szCs w:val="28"/>
        </w:rPr>
        <w:t>tu apkopojuma, vairāku administ</w:t>
      </w:r>
      <w:r w:rsidR="00F93CDA" w:rsidRPr="00090CDE">
        <w:rPr>
          <w:sz w:val="28"/>
          <w:szCs w:val="28"/>
        </w:rPr>
        <w:t>r</w:t>
      </w:r>
      <w:r w:rsidR="00CE0182" w:rsidRPr="00090CDE">
        <w:rPr>
          <w:sz w:val="28"/>
          <w:szCs w:val="28"/>
        </w:rPr>
        <w:t>atīvo lietu izskatīšana administ</w:t>
      </w:r>
      <w:r w:rsidR="00F93CDA" w:rsidRPr="00090CDE">
        <w:rPr>
          <w:sz w:val="28"/>
          <w:szCs w:val="28"/>
        </w:rPr>
        <w:t>r</w:t>
      </w:r>
      <w:r w:rsidR="00CE0182" w:rsidRPr="00090CDE">
        <w:rPr>
          <w:sz w:val="28"/>
          <w:szCs w:val="28"/>
        </w:rPr>
        <w:t>a</w:t>
      </w:r>
      <w:r w:rsidR="00F93CDA" w:rsidRPr="00090CDE">
        <w:rPr>
          <w:sz w:val="28"/>
          <w:szCs w:val="28"/>
        </w:rPr>
        <w:t xml:space="preserve">tīvā procesa ietvaros uz datu sniegšanas brīdi nebija pabeigta. Balstoties </w:t>
      </w:r>
      <w:r w:rsidR="00F93CDA" w:rsidRPr="00090CDE">
        <w:rPr>
          <w:sz w:val="28"/>
          <w:szCs w:val="28"/>
        </w:rPr>
        <w:lastRenderedPageBreak/>
        <w:t>uz pēdējo gadu bāriņtiesas lēmumu pārsūdzības tendencēm,</w:t>
      </w:r>
      <w:r w:rsidRPr="00090CDE">
        <w:rPr>
          <w:sz w:val="28"/>
          <w:szCs w:val="28"/>
        </w:rPr>
        <w:t xml:space="preserve"> izņemot 2014.gadu, kad</w:t>
      </w:r>
      <w:r w:rsidR="00F93CDA" w:rsidRPr="00090CDE">
        <w:rPr>
          <w:sz w:val="28"/>
          <w:szCs w:val="28"/>
        </w:rPr>
        <w:t xml:space="preserve"> </w:t>
      </w:r>
      <w:r w:rsidRPr="00090CDE">
        <w:rPr>
          <w:sz w:val="28"/>
          <w:szCs w:val="28"/>
        </w:rPr>
        <w:t xml:space="preserve">neviens bāriņtiesas lēmums nav atcelts, </w:t>
      </w:r>
      <w:r w:rsidR="00F93CDA" w:rsidRPr="00090CDE">
        <w:rPr>
          <w:sz w:val="28"/>
          <w:szCs w:val="28"/>
        </w:rPr>
        <w:t>ik gadu 5-6 bāriņtiesas lēmumi, kurus iz</w:t>
      </w:r>
      <w:r w:rsidR="005867F9">
        <w:rPr>
          <w:sz w:val="28"/>
          <w:szCs w:val="28"/>
        </w:rPr>
        <w:t>skatījusi tiesa, atcelti. 38</w:t>
      </w:r>
      <w:r w:rsidR="00CE0182" w:rsidRPr="00090CDE">
        <w:rPr>
          <w:sz w:val="28"/>
          <w:szCs w:val="28"/>
        </w:rPr>
        <w:t>.</w:t>
      </w:r>
      <w:r w:rsidR="00F93CDA" w:rsidRPr="00090CDE">
        <w:rPr>
          <w:sz w:val="28"/>
          <w:szCs w:val="28"/>
        </w:rPr>
        <w:t>diagrammā, kurā atspoguļots bāriņtiesu sniegto d</w:t>
      </w:r>
      <w:r w:rsidRPr="00090CDE">
        <w:rPr>
          <w:sz w:val="28"/>
          <w:szCs w:val="28"/>
        </w:rPr>
        <w:t>atu apkopojums, redzams, ka 2015</w:t>
      </w:r>
      <w:r w:rsidR="00F93CDA" w:rsidRPr="00090CDE">
        <w:rPr>
          <w:sz w:val="28"/>
          <w:szCs w:val="28"/>
        </w:rPr>
        <w:t xml:space="preserve">.gadā </w:t>
      </w:r>
      <w:r w:rsidRPr="00090CDE">
        <w:rPr>
          <w:sz w:val="28"/>
          <w:szCs w:val="28"/>
        </w:rPr>
        <w:t>ar tiesas spriedumu atcelti 5 lēmumi.</w:t>
      </w:r>
    </w:p>
    <w:p w:rsidR="006C6DF4" w:rsidRPr="00090CDE" w:rsidRDefault="00001E7A" w:rsidP="0024496D">
      <w:pPr>
        <w:spacing w:after="0"/>
        <w:rPr>
          <w:sz w:val="28"/>
          <w:szCs w:val="28"/>
        </w:rPr>
      </w:pPr>
      <w:r w:rsidRPr="00090CDE">
        <w:rPr>
          <w:sz w:val="28"/>
          <w:szCs w:val="28"/>
        </w:rPr>
        <w:tab/>
        <w:t>Apkopojot statistisko inform</w:t>
      </w:r>
      <w:r w:rsidR="00E70478" w:rsidRPr="00090CDE">
        <w:rPr>
          <w:sz w:val="28"/>
          <w:szCs w:val="28"/>
        </w:rPr>
        <w:t>āciju par administ</w:t>
      </w:r>
      <w:r w:rsidRPr="00090CDE">
        <w:rPr>
          <w:sz w:val="28"/>
          <w:szCs w:val="28"/>
        </w:rPr>
        <w:t>r</w:t>
      </w:r>
      <w:r w:rsidR="00E70478" w:rsidRPr="00090CDE">
        <w:rPr>
          <w:sz w:val="28"/>
          <w:szCs w:val="28"/>
        </w:rPr>
        <w:t>a</w:t>
      </w:r>
      <w:r w:rsidRPr="00090CDE">
        <w:rPr>
          <w:sz w:val="28"/>
          <w:szCs w:val="28"/>
        </w:rPr>
        <w:t>tīvajā procesā tiesā izskat</w:t>
      </w:r>
      <w:r w:rsidR="00E70478" w:rsidRPr="00090CDE">
        <w:rPr>
          <w:sz w:val="28"/>
          <w:szCs w:val="28"/>
        </w:rPr>
        <w:t xml:space="preserve">ītajiem jautājumiem, konstatēts, ka </w:t>
      </w:r>
      <w:r w:rsidR="00DD4E8A" w:rsidRPr="00090CDE">
        <w:rPr>
          <w:sz w:val="28"/>
          <w:szCs w:val="28"/>
        </w:rPr>
        <w:t>tāpat kā iepriekšējā gadā</w:t>
      </w:r>
      <w:r w:rsidR="00E70478" w:rsidRPr="00090CDE">
        <w:rPr>
          <w:sz w:val="28"/>
          <w:szCs w:val="28"/>
        </w:rPr>
        <w:t xml:space="preserve">, </w:t>
      </w:r>
      <w:r w:rsidR="00FC27E7" w:rsidRPr="00090CDE">
        <w:rPr>
          <w:sz w:val="28"/>
          <w:szCs w:val="28"/>
        </w:rPr>
        <w:t>2015</w:t>
      </w:r>
      <w:r w:rsidR="00E70478" w:rsidRPr="00090CDE">
        <w:rPr>
          <w:sz w:val="28"/>
          <w:szCs w:val="28"/>
        </w:rPr>
        <w:t>.gadā no kopē</w:t>
      </w:r>
      <w:r w:rsidR="00FC27E7" w:rsidRPr="00090CDE">
        <w:rPr>
          <w:sz w:val="28"/>
          <w:szCs w:val="28"/>
        </w:rPr>
        <w:t>jā bāriņtiesas lēmumu skaita (67</w:t>
      </w:r>
      <w:r w:rsidR="00E70478" w:rsidRPr="00090CDE">
        <w:rPr>
          <w:sz w:val="28"/>
          <w:szCs w:val="28"/>
        </w:rPr>
        <w:t xml:space="preserve">), kuri pārsūdzēti tiesā, lielākais skaits ir lēmumi par bērna aizgādības tiesību pārtraukšanu un pārtraukto aizgādības tiesību atjaunošanu vecākiem, proti, </w:t>
      </w:r>
      <w:r w:rsidR="00450000" w:rsidRPr="00090CDE">
        <w:rPr>
          <w:sz w:val="28"/>
          <w:szCs w:val="28"/>
        </w:rPr>
        <w:t>39 bāriņtiesas lēmumi, 2014.gadā-29 lēmumi. Konstatēts, ka 2015.gadā pārsūdzēti arī 2</w:t>
      </w:r>
      <w:r w:rsidR="00E70478" w:rsidRPr="00090CDE">
        <w:rPr>
          <w:sz w:val="28"/>
          <w:szCs w:val="28"/>
        </w:rPr>
        <w:t xml:space="preserve"> l</w:t>
      </w:r>
      <w:r w:rsidR="00450000" w:rsidRPr="00090CDE">
        <w:rPr>
          <w:sz w:val="28"/>
          <w:szCs w:val="28"/>
        </w:rPr>
        <w:t>ēmumi par aizbildņa iecelšanu, 5 lēmumi</w:t>
      </w:r>
      <w:r w:rsidR="00E70478" w:rsidRPr="00090CDE">
        <w:rPr>
          <w:sz w:val="28"/>
          <w:szCs w:val="28"/>
        </w:rPr>
        <w:t xml:space="preserve"> par aizbildņa atlaišanu vai atcelša</w:t>
      </w:r>
      <w:r w:rsidR="00450000" w:rsidRPr="00090CDE">
        <w:rPr>
          <w:sz w:val="28"/>
          <w:szCs w:val="28"/>
        </w:rPr>
        <w:t>nu,  4</w:t>
      </w:r>
      <w:r w:rsidR="00E70478" w:rsidRPr="00090CDE">
        <w:rPr>
          <w:sz w:val="28"/>
          <w:szCs w:val="28"/>
        </w:rPr>
        <w:t xml:space="preserve"> – par bērna mantas pārvaldīšanu</w:t>
      </w:r>
      <w:r w:rsidR="00450000" w:rsidRPr="00090CDE">
        <w:rPr>
          <w:sz w:val="28"/>
          <w:szCs w:val="28"/>
        </w:rPr>
        <w:t>, 5 – par aizgādņa iecelšanu mantojumam un 12</w:t>
      </w:r>
      <w:r w:rsidR="00E70478" w:rsidRPr="00090CDE">
        <w:rPr>
          <w:sz w:val="28"/>
          <w:szCs w:val="28"/>
        </w:rPr>
        <w:t xml:space="preserve"> lēmumi citos jautājumos.  </w:t>
      </w:r>
    </w:p>
    <w:p w:rsidR="00DD4E8A" w:rsidRPr="00090CDE" w:rsidRDefault="00DD4E8A" w:rsidP="0024496D">
      <w:pPr>
        <w:spacing w:after="0"/>
        <w:rPr>
          <w:sz w:val="10"/>
          <w:szCs w:val="10"/>
        </w:rPr>
      </w:pPr>
    </w:p>
    <w:p w:rsidR="006C6DF4" w:rsidRPr="00090CDE" w:rsidRDefault="006C6DF4" w:rsidP="00FE7791">
      <w:pPr>
        <w:ind w:firstLine="720"/>
        <w:rPr>
          <w:sz w:val="28"/>
          <w:szCs w:val="28"/>
        </w:rPr>
      </w:pPr>
      <w:r w:rsidRPr="00090CDE">
        <w:rPr>
          <w:sz w:val="28"/>
          <w:szCs w:val="28"/>
        </w:rPr>
        <w:t>Bāriņtiesas faktisko rīcību privātpersona</w:t>
      </w:r>
      <w:r w:rsidR="00F1263F" w:rsidRPr="00090CDE">
        <w:rPr>
          <w:sz w:val="28"/>
          <w:szCs w:val="28"/>
        </w:rPr>
        <w:t>, iesniedzot attiecīgu pieteikumu tiesā,</w:t>
      </w:r>
      <w:r w:rsidRPr="00090CDE">
        <w:rPr>
          <w:sz w:val="28"/>
          <w:szCs w:val="28"/>
        </w:rPr>
        <w:t xml:space="preserve"> var pārsūdzēt </w:t>
      </w:r>
      <w:r w:rsidR="00F1263F" w:rsidRPr="00090CDE">
        <w:rPr>
          <w:sz w:val="28"/>
          <w:szCs w:val="28"/>
        </w:rPr>
        <w:t xml:space="preserve">tāpat kā bāriņtiesas lēmumu. </w:t>
      </w:r>
      <w:r w:rsidR="00DF361D" w:rsidRPr="00090CDE">
        <w:rPr>
          <w:sz w:val="28"/>
          <w:szCs w:val="28"/>
        </w:rPr>
        <w:t>Iestādes faktiskās rīcības skaidrojums ietverts Administratīvā procesa likuma 89.pantā. Atbilsto</w:t>
      </w:r>
      <w:r w:rsidR="00254F44" w:rsidRPr="00090CDE">
        <w:rPr>
          <w:sz w:val="28"/>
          <w:szCs w:val="28"/>
        </w:rPr>
        <w:t xml:space="preserve">ši minētajā pantā noteiktajam, </w:t>
      </w:r>
      <w:r w:rsidR="00DF361D" w:rsidRPr="00090CDE">
        <w:rPr>
          <w:sz w:val="28"/>
          <w:szCs w:val="28"/>
        </w:rPr>
        <w:t>iestādes faktiskā rīcība ir iestādes rīcība publisko tiesību jomā, kas neizpaužas tiesību akta veidā un kas ir vērsta uz faktisko seku radīšanu, ja privātpersonai uz šo rīcību ir tiesības vai šīs rīcības rezultātā ir radies vai var rasties personas tiesību vai tiesisko interešu aizskārums. Faktiskā rīcība ir arī iestādes bezdarbība, ja iestādei saskaņā ar tiesību normām bija vai ir pienākums izpildīt kādu darbību</w:t>
      </w:r>
      <w:r w:rsidR="005738E0" w:rsidRPr="00090CDE">
        <w:rPr>
          <w:sz w:val="28"/>
          <w:szCs w:val="28"/>
        </w:rPr>
        <w:t>. Lai konkrētu bāriņtiesas rīcību varētu uzskatīt par tās faktisko rīcību, tiesai savu pilnvaru ietvaros nepieciešams konstatēt faktiskās rīcības pazīmes izrietošas no iepriekš minētā faktiskās rīcības jēdziena skaidrojuma</w:t>
      </w:r>
      <w:r w:rsidR="00EB5317" w:rsidRPr="00090CDE">
        <w:rPr>
          <w:sz w:val="28"/>
          <w:szCs w:val="28"/>
        </w:rPr>
        <w:t>. Minētajam var būt tajā skaitā nozīme,</w:t>
      </w:r>
      <w:r w:rsidR="00C75C6A" w:rsidRPr="00090CDE">
        <w:rPr>
          <w:sz w:val="28"/>
          <w:szCs w:val="28"/>
        </w:rPr>
        <w:t xml:space="preserve"> atsako</w:t>
      </w:r>
      <w:r w:rsidR="00254F44" w:rsidRPr="00090CDE">
        <w:rPr>
          <w:sz w:val="28"/>
          <w:szCs w:val="28"/>
        </w:rPr>
        <w:t>t pieņemt iz</w:t>
      </w:r>
      <w:r w:rsidR="00EB5317" w:rsidRPr="00090CDE">
        <w:rPr>
          <w:sz w:val="28"/>
          <w:szCs w:val="28"/>
        </w:rPr>
        <w:t>s</w:t>
      </w:r>
      <w:r w:rsidR="00254F44" w:rsidRPr="00090CDE">
        <w:rPr>
          <w:sz w:val="28"/>
          <w:szCs w:val="28"/>
        </w:rPr>
        <w:t>k</w:t>
      </w:r>
      <w:r w:rsidR="00EB5317" w:rsidRPr="00090CDE">
        <w:rPr>
          <w:sz w:val="28"/>
          <w:szCs w:val="28"/>
        </w:rPr>
        <w:t xml:space="preserve">atīšanai pieteikumu vai izbeidzot tiesvedību jau ierosinātā lietā. </w:t>
      </w:r>
    </w:p>
    <w:p w:rsidR="008B52B9" w:rsidRPr="00090CDE" w:rsidRDefault="005867F9" w:rsidP="00620020">
      <w:pPr>
        <w:ind w:firstLine="720"/>
        <w:jc w:val="right"/>
        <w:rPr>
          <w:b/>
          <w:sz w:val="26"/>
          <w:szCs w:val="26"/>
        </w:rPr>
      </w:pPr>
      <w:r>
        <w:rPr>
          <w:b/>
          <w:sz w:val="26"/>
          <w:szCs w:val="26"/>
        </w:rPr>
        <w:t>39</w:t>
      </w:r>
      <w:r w:rsidR="00F94753" w:rsidRPr="00090CDE">
        <w:rPr>
          <w:b/>
          <w:sz w:val="26"/>
          <w:szCs w:val="26"/>
        </w:rPr>
        <w:t>.</w:t>
      </w:r>
      <w:r w:rsidR="00620020" w:rsidRPr="00090CDE">
        <w:rPr>
          <w:b/>
          <w:sz w:val="26"/>
          <w:szCs w:val="26"/>
        </w:rPr>
        <w:t>diagramma</w:t>
      </w:r>
    </w:p>
    <w:p w:rsidR="008B52B9" w:rsidRPr="00090CDE" w:rsidRDefault="008B52B9" w:rsidP="00F94753">
      <w:pPr>
        <w:ind w:firstLine="720"/>
        <w:rPr>
          <w:sz w:val="28"/>
          <w:szCs w:val="28"/>
        </w:rPr>
      </w:pPr>
      <w:r w:rsidRPr="00090CDE">
        <w:rPr>
          <w:noProof/>
          <w:lang w:val="en-GB" w:eastAsia="en-GB"/>
        </w:rPr>
        <w:drawing>
          <wp:inline distT="0" distB="0" distL="0" distR="0" wp14:anchorId="279C28A7" wp14:editId="2CD046F1">
            <wp:extent cx="5138738" cy="2743200"/>
            <wp:effectExtent l="0" t="0" r="5080" b="0"/>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8B52B9" w:rsidRPr="00090CDE" w:rsidRDefault="008B52B9" w:rsidP="00620020">
      <w:pPr>
        <w:rPr>
          <w:sz w:val="28"/>
          <w:szCs w:val="28"/>
        </w:rPr>
      </w:pPr>
    </w:p>
    <w:p w:rsidR="00F9209B" w:rsidRPr="00090CDE" w:rsidRDefault="005867F9" w:rsidP="00F9209B">
      <w:pPr>
        <w:ind w:firstLine="720"/>
        <w:rPr>
          <w:sz w:val="28"/>
          <w:szCs w:val="28"/>
        </w:rPr>
      </w:pPr>
      <w:r>
        <w:rPr>
          <w:sz w:val="28"/>
          <w:szCs w:val="28"/>
        </w:rPr>
        <w:lastRenderedPageBreak/>
        <w:t>No 39</w:t>
      </w:r>
      <w:bookmarkStart w:id="38" w:name="_GoBack"/>
      <w:bookmarkEnd w:id="38"/>
      <w:r w:rsidR="00DD4E8A" w:rsidRPr="00090CDE">
        <w:rPr>
          <w:sz w:val="28"/>
          <w:szCs w:val="28"/>
        </w:rPr>
        <w:t>.</w:t>
      </w:r>
      <w:r w:rsidR="000A486E" w:rsidRPr="00090CDE">
        <w:rPr>
          <w:sz w:val="28"/>
          <w:szCs w:val="28"/>
        </w:rPr>
        <w:t xml:space="preserve">diagrammas redzams, ka arī faktisko pārsūdzību gadījumu skaits 2014.gadā, salīdzinot ar diviem iepriekšējiem gadiem, ir samazinājies. Proti, 2014.gadā konstatēti 6 gadījumi, kad persona vērsusies tiesā, lai pārsūdzētu bāriņtiesas faktisko rīcību un ierosināta attiecīga administratīvā lieta tiesā. Visos gadījumos pieņemts bāriņtiesām labvēlīgs tiesas spriedums. Salīdzinot 2013.gadā tie bija 11 gadījumi, kuros pieņemts labvēlīgs tiesas spriedums bāriņtiesai un 2012.gadā 14 gadījumi, no kuriem 10 gadījumos tiesas spriedums bijis labvēlīgs un 2 gadījumos nelabvēlīgs bāriņtiesai. </w:t>
      </w:r>
      <w:r w:rsidR="00620020" w:rsidRPr="00090CDE">
        <w:rPr>
          <w:sz w:val="28"/>
          <w:szCs w:val="28"/>
        </w:rPr>
        <w:t>Atbilstoši apkopotajiem statistikas datiem 2015.gadā konstatēti 5 bāriņtiesas faktiskās rīcības pārsūdzības gadījumi, no kuriem 3 gadījumos pieņemts bāriņtiesai labvēlīgs tiesas spriedums un 1 gadījumā bāriņtiesai nelabvēlīgs tiesas spriedums, savukārt 1 no gadījumiem tiesas spriedums pārskata gadā netika pie</w:t>
      </w:r>
      <w:r w:rsidR="00F9209B" w:rsidRPr="00090CDE">
        <w:rPr>
          <w:sz w:val="28"/>
          <w:szCs w:val="28"/>
        </w:rPr>
        <w:t>ņemts.</w:t>
      </w:r>
    </w:p>
    <w:p w:rsidR="00585916" w:rsidRPr="00090CDE" w:rsidRDefault="00585916" w:rsidP="00F9209B">
      <w:pPr>
        <w:ind w:firstLine="720"/>
        <w:rPr>
          <w:sz w:val="28"/>
          <w:szCs w:val="28"/>
        </w:rPr>
      </w:pPr>
      <w:r w:rsidRPr="00090CDE">
        <w:rPr>
          <w:sz w:val="28"/>
          <w:szCs w:val="28"/>
        </w:rPr>
        <w:t>Apkopojot iepriekš minēto, secināms,</w:t>
      </w:r>
      <w:r w:rsidR="00254F44" w:rsidRPr="00090CDE">
        <w:rPr>
          <w:sz w:val="28"/>
          <w:szCs w:val="28"/>
        </w:rPr>
        <w:t xml:space="preserve"> ka pārsvarā gadījumos administ</w:t>
      </w:r>
      <w:r w:rsidRPr="00090CDE">
        <w:rPr>
          <w:sz w:val="28"/>
          <w:szCs w:val="28"/>
        </w:rPr>
        <w:t>r</w:t>
      </w:r>
      <w:r w:rsidR="00254F44" w:rsidRPr="00090CDE">
        <w:rPr>
          <w:sz w:val="28"/>
          <w:szCs w:val="28"/>
        </w:rPr>
        <w:t>a</w:t>
      </w:r>
      <w:r w:rsidRPr="00090CDE">
        <w:rPr>
          <w:sz w:val="28"/>
          <w:szCs w:val="28"/>
        </w:rPr>
        <w:t>tīvās tiesvedības ietvaros tiek ierosinātas lietas par bāriņtiesas lēmumu pārsūdzību</w:t>
      </w:r>
      <w:r w:rsidR="008F2CE8" w:rsidRPr="00090CDE">
        <w:rPr>
          <w:sz w:val="28"/>
          <w:szCs w:val="28"/>
        </w:rPr>
        <w:t xml:space="preserve">, savukārt bāriņtiesas faktiskā rīcība kā pieteikuma priekšmets tiesas administratīvajā procesā nav tik izplatīts. </w:t>
      </w:r>
      <w:r w:rsidR="00543BFD" w:rsidRPr="00090CDE">
        <w:rPr>
          <w:sz w:val="28"/>
          <w:szCs w:val="28"/>
        </w:rPr>
        <w:t>Tāpat secināms, ka kopumā, ņemot vērā kopējo bāriņti</w:t>
      </w:r>
      <w:r w:rsidR="00F9209B" w:rsidRPr="00090CDE">
        <w:rPr>
          <w:sz w:val="28"/>
          <w:szCs w:val="28"/>
        </w:rPr>
        <w:t>esu pieņemto lēmumu skaitu (2015</w:t>
      </w:r>
      <w:r w:rsidR="00543BFD" w:rsidRPr="00090CDE">
        <w:rPr>
          <w:sz w:val="28"/>
          <w:szCs w:val="28"/>
        </w:rPr>
        <w:t xml:space="preserve">.gadā- </w:t>
      </w:r>
      <w:r w:rsidR="00F9209B" w:rsidRPr="00090CDE">
        <w:rPr>
          <w:sz w:val="28"/>
          <w:szCs w:val="28"/>
        </w:rPr>
        <w:t>13004</w:t>
      </w:r>
      <w:r w:rsidR="00543BFD" w:rsidRPr="00090CDE">
        <w:rPr>
          <w:sz w:val="28"/>
          <w:szCs w:val="28"/>
        </w:rPr>
        <w:t>), pārsūdzēto lēmumu gadījumu sk</w:t>
      </w:r>
      <w:r w:rsidR="006D4332" w:rsidRPr="00090CDE">
        <w:rPr>
          <w:sz w:val="28"/>
          <w:szCs w:val="28"/>
        </w:rPr>
        <w:t>aits nav skaitliski ievērojams, turklāt lielākoties tiesa atzinusi bāriņtiesu pie</w:t>
      </w:r>
      <w:r w:rsidR="001B31B0" w:rsidRPr="00090CDE">
        <w:rPr>
          <w:sz w:val="28"/>
          <w:szCs w:val="28"/>
        </w:rPr>
        <w:t>ņemto</w:t>
      </w:r>
      <w:r w:rsidR="006D4332" w:rsidRPr="00090CDE">
        <w:rPr>
          <w:sz w:val="28"/>
          <w:szCs w:val="28"/>
        </w:rPr>
        <w:t xml:space="preserve">s lēmumus par pamatotiem. </w:t>
      </w:r>
    </w:p>
    <w:p w:rsidR="00CB0A6F" w:rsidRPr="00090CDE" w:rsidRDefault="00CB0A6F" w:rsidP="00722509"/>
    <w:p w:rsidR="00CB0A6F" w:rsidRPr="00090CDE" w:rsidRDefault="00CB0A6F" w:rsidP="00722509"/>
    <w:sectPr w:rsidR="00CB0A6F" w:rsidRPr="00090CDE" w:rsidSect="00607C3F">
      <w:footerReference w:type="default" r:id="rId47"/>
      <w:pgSz w:w="11906" w:h="16838"/>
      <w:pgMar w:top="964" w:right="1021" w:bottom="680" w:left="1418"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0D29" w:rsidRDefault="008E0D29" w:rsidP="001A6063">
      <w:pPr>
        <w:spacing w:after="0" w:line="240" w:lineRule="auto"/>
      </w:pPr>
      <w:r>
        <w:separator/>
      </w:r>
    </w:p>
  </w:endnote>
  <w:endnote w:type="continuationSeparator" w:id="0">
    <w:p w:rsidR="008E0D29" w:rsidRDefault="008E0D29" w:rsidP="001A6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T51Eo00">
    <w:altName w:val="Times New Roman"/>
    <w:panose1 w:val="00000000000000000000"/>
    <w:charset w:val="EE"/>
    <w:family w:val="auto"/>
    <w:notTrueType/>
    <w:pitch w:val="default"/>
    <w:sig w:usb0="00000005" w:usb1="00000000" w:usb2="00000000" w:usb3="00000000" w:csb0="00000002" w:csb1="00000000"/>
  </w:font>
  <w:font w:name="TT521o00">
    <w:altName w:val="Times New Roman"/>
    <w:panose1 w:val="00000000000000000000"/>
    <w:charset w:val="EE"/>
    <w:family w:val="auto"/>
    <w:notTrueType/>
    <w:pitch w:val="default"/>
    <w:sig w:usb0="00000005" w:usb1="00000000" w:usb2="00000000" w:usb3="00000000" w:csb0="00000002" w:csb1="00000000"/>
  </w:font>
  <w:font w:name="HelveticaL-Book">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5065757"/>
      <w:docPartObj>
        <w:docPartGallery w:val="Page Numbers (Bottom of Page)"/>
        <w:docPartUnique/>
      </w:docPartObj>
    </w:sdtPr>
    <w:sdtEndPr>
      <w:rPr>
        <w:noProof/>
      </w:rPr>
    </w:sdtEndPr>
    <w:sdtContent>
      <w:p w:rsidR="006A0312" w:rsidRDefault="006A0312">
        <w:pPr>
          <w:pStyle w:val="Footer"/>
          <w:jc w:val="center"/>
        </w:pPr>
        <w:r>
          <w:fldChar w:fldCharType="begin"/>
        </w:r>
        <w:r>
          <w:instrText xml:space="preserve"> PAGE   \* MERGEFORMAT </w:instrText>
        </w:r>
        <w:r>
          <w:fldChar w:fldCharType="separate"/>
        </w:r>
        <w:r w:rsidR="005867F9">
          <w:rPr>
            <w:noProof/>
          </w:rPr>
          <w:t>63</w:t>
        </w:r>
        <w:r>
          <w:rPr>
            <w:noProof/>
          </w:rPr>
          <w:fldChar w:fldCharType="end"/>
        </w:r>
      </w:p>
    </w:sdtContent>
  </w:sdt>
  <w:p w:rsidR="006A0312" w:rsidRDefault="006A0312">
    <w:pPr>
      <w:pStyle w:val="Footer"/>
    </w:pPr>
  </w:p>
  <w:p w:rsidR="006A0312" w:rsidRDefault="006A0312"/>
  <w:p w:rsidR="006A0312" w:rsidRDefault="006A031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0D29" w:rsidRDefault="008E0D29" w:rsidP="001A6063">
      <w:pPr>
        <w:spacing w:after="0" w:line="240" w:lineRule="auto"/>
      </w:pPr>
      <w:r>
        <w:separator/>
      </w:r>
    </w:p>
  </w:footnote>
  <w:footnote w:type="continuationSeparator" w:id="0">
    <w:p w:rsidR="008E0D29" w:rsidRDefault="008E0D29" w:rsidP="001A6063">
      <w:pPr>
        <w:spacing w:after="0" w:line="240" w:lineRule="auto"/>
      </w:pPr>
      <w:r>
        <w:continuationSeparator/>
      </w:r>
    </w:p>
  </w:footnote>
  <w:footnote w:id="1">
    <w:p w:rsidR="006A0312" w:rsidRDefault="006A0312" w:rsidP="0005334C">
      <w:pPr>
        <w:pStyle w:val="FootnoteText"/>
      </w:pPr>
      <w:r>
        <w:rPr>
          <w:rStyle w:val="FootnoteReference"/>
        </w:rPr>
        <w:footnoteRef/>
      </w:r>
      <w:r>
        <w:t xml:space="preserve"> Latvijas Republikas Augstākās tiesas Tiesu prakses vispārinājums “Administratīvo tiesu prakse lietās par bāriņtiesu lēmumiem”, 2014.gads.</w:t>
      </w:r>
    </w:p>
  </w:footnote>
  <w:footnote w:id="2">
    <w:p w:rsidR="006A0312" w:rsidRDefault="006A0312">
      <w:pPr>
        <w:pStyle w:val="FootnoteText"/>
      </w:pPr>
      <w:r>
        <w:rPr>
          <w:rStyle w:val="FootnoteReference"/>
        </w:rPr>
        <w:footnoteRef/>
      </w:r>
      <w:r>
        <w:t xml:space="preserve"> Valsts bērnu tiesību aizsardzības inspekcijas sagatavotie metodiskie ieteikumi "Bāriņtiesas loma deinstitucionalizācijas procesā".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2158E"/>
    <w:multiLevelType w:val="hybridMultilevel"/>
    <w:tmpl w:val="2E28FF2A"/>
    <w:lvl w:ilvl="0" w:tplc="8DA0D8C6">
      <w:start w:val="1"/>
      <w:numFmt w:val="decimal"/>
      <w:lvlText w:val="%1)"/>
      <w:lvlJc w:val="left"/>
      <w:pPr>
        <w:ind w:left="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D365FDC">
      <w:start w:val="1"/>
      <w:numFmt w:val="lowerLetter"/>
      <w:lvlText w:val="%2"/>
      <w:lvlJc w:val="left"/>
      <w:pPr>
        <w:ind w:left="17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65680C8">
      <w:start w:val="1"/>
      <w:numFmt w:val="lowerRoman"/>
      <w:lvlText w:val="%3"/>
      <w:lvlJc w:val="left"/>
      <w:pPr>
        <w:ind w:left="24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B027960">
      <w:start w:val="1"/>
      <w:numFmt w:val="decimal"/>
      <w:lvlText w:val="%4"/>
      <w:lvlJc w:val="left"/>
      <w:pPr>
        <w:ind w:left="31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EADCBAA4">
      <w:start w:val="1"/>
      <w:numFmt w:val="lowerLetter"/>
      <w:lvlText w:val="%5"/>
      <w:lvlJc w:val="left"/>
      <w:pPr>
        <w:ind w:left="39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932027A">
      <w:start w:val="1"/>
      <w:numFmt w:val="lowerRoman"/>
      <w:lvlText w:val="%6"/>
      <w:lvlJc w:val="left"/>
      <w:pPr>
        <w:ind w:left="46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3BE883AC">
      <w:start w:val="1"/>
      <w:numFmt w:val="decimal"/>
      <w:lvlText w:val="%7"/>
      <w:lvlJc w:val="left"/>
      <w:pPr>
        <w:ind w:left="53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CB646894">
      <w:start w:val="1"/>
      <w:numFmt w:val="lowerLetter"/>
      <w:lvlText w:val="%8"/>
      <w:lvlJc w:val="left"/>
      <w:pPr>
        <w:ind w:left="60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262AE42">
      <w:start w:val="1"/>
      <w:numFmt w:val="lowerRoman"/>
      <w:lvlText w:val="%9"/>
      <w:lvlJc w:val="left"/>
      <w:pPr>
        <w:ind w:left="67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0DBF0902"/>
    <w:multiLevelType w:val="hybridMultilevel"/>
    <w:tmpl w:val="42FA07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5A494A"/>
    <w:multiLevelType w:val="hybridMultilevel"/>
    <w:tmpl w:val="576C55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93B1A0E"/>
    <w:multiLevelType w:val="hybridMultilevel"/>
    <w:tmpl w:val="AB72D2F4"/>
    <w:lvl w:ilvl="0" w:tplc="B50E5EA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F890A42"/>
    <w:multiLevelType w:val="hybridMultilevel"/>
    <w:tmpl w:val="324257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F31023"/>
    <w:multiLevelType w:val="hybridMultilevel"/>
    <w:tmpl w:val="A1640346"/>
    <w:lvl w:ilvl="0" w:tplc="0426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B2081B"/>
    <w:multiLevelType w:val="hybridMultilevel"/>
    <w:tmpl w:val="D2BC2B98"/>
    <w:lvl w:ilvl="0" w:tplc="E346741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5B3082E"/>
    <w:multiLevelType w:val="multilevel"/>
    <w:tmpl w:val="13B8C58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C950387"/>
    <w:multiLevelType w:val="hybridMultilevel"/>
    <w:tmpl w:val="0882A80E"/>
    <w:lvl w:ilvl="0" w:tplc="0426000B">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9" w15:restartNumberingAfterBreak="0">
    <w:nsid w:val="2E0002FF"/>
    <w:multiLevelType w:val="hybridMultilevel"/>
    <w:tmpl w:val="BC7684CE"/>
    <w:lvl w:ilvl="0" w:tplc="F8A8CFFE">
      <w:start w:val="9"/>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34170499"/>
    <w:multiLevelType w:val="hybridMultilevel"/>
    <w:tmpl w:val="0DACDA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4C05FB5"/>
    <w:multiLevelType w:val="hybridMultilevel"/>
    <w:tmpl w:val="ED44D344"/>
    <w:lvl w:ilvl="0" w:tplc="5CF82CEE">
      <w:start w:val="1"/>
      <w:numFmt w:val="decimal"/>
      <w:lvlText w:val="%1)"/>
      <w:lvlJc w:val="left"/>
      <w:pPr>
        <w:ind w:left="1199" w:hanging="360"/>
      </w:pPr>
      <w:rPr>
        <w:rFonts w:hint="default"/>
      </w:rPr>
    </w:lvl>
    <w:lvl w:ilvl="1" w:tplc="04260019" w:tentative="1">
      <w:start w:val="1"/>
      <w:numFmt w:val="lowerLetter"/>
      <w:lvlText w:val="%2."/>
      <w:lvlJc w:val="left"/>
      <w:pPr>
        <w:ind w:left="1919" w:hanging="360"/>
      </w:pPr>
    </w:lvl>
    <w:lvl w:ilvl="2" w:tplc="0426001B" w:tentative="1">
      <w:start w:val="1"/>
      <w:numFmt w:val="lowerRoman"/>
      <w:lvlText w:val="%3."/>
      <w:lvlJc w:val="right"/>
      <w:pPr>
        <w:ind w:left="2639" w:hanging="180"/>
      </w:pPr>
    </w:lvl>
    <w:lvl w:ilvl="3" w:tplc="0426000F" w:tentative="1">
      <w:start w:val="1"/>
      <w:numFmt w:val="decimal"/>
      <w:lvlText w:val="%4."/>
      <w:lvlJc w:val="left"/>
      <w:pPr>
        <w:ind w:left="3359" w:hanging="360"/>
      </w:pPr>
    </w:lvl>
    <w:lvl w:ilvl="4" w:tplc="04260019" w:tentative="1">
      <w:start w:val="1"/>
      <w:numFmt w:val="lowerLetter"/>
      <w:lvlText w:val="%5."/>
      <w:lvlJc w:val="left"/>
      <w:pPr>
        <w:ind w:left="4079" w:hanging="360"/>
      </w:pPr>
    </w:lvl>
    <w:lvl w:ilvl="5" w:tplc="0426001B" w:tentative="1">
      <w:start w:val="1"/>
      <w:numFmt w:val="lowerRoman"/>
      <w:lvlText w:val="%6."/>
      <w:lvlJc w:val="right"/>
      <w:pPr>
        <w:ind w:left="4799" w:hanging="180"/>
      </w:pPr>
    </w:lvl>
    <w:lvl w:ilvl="6" w:tplc="0426000F" w:tentative="1">
      <w:start w:val="1"/>
      <w:numFmt w:val="decimal"/>
      <w:lvlText w:val="%7."/>
      <w:lvlJc w:val="left"/>
      <w:pPr>
        <w:ind w:left="5519" w:hanging="360"/>
      </w:pPr>
    </w:lvl>
    <w:lvl w:ilvl="7" w:tplc="04260019" w:tentative="1">
      <w:start w:val="1"/>
      <w:numFmt w:val="lowerLetter"/>
      <w:lvlText w:val="%8."/>
      <w:lvlJc w:val="left"/>
      <w:pPr>
        <w:ind w:left="6239" w:hanging="360"/>
      </w:pPr>
    </w:lvl>
    <w:lvl w:ilvl="8" w:tplc="0426001B" w:tentative="1">
      <w:start w:val="1"/>
      <w:numFmt w:val="lowerRoman"/>
      <w:lvlText w:val="%9."/>
      <w:lvlJc w:val="right"/>
      <w:pPr>
        <w:ind w:left="6959" w:hanging="180"/>
      </w:pPr>
    </w:lvl>
  </w:abstractNum>
  <w:abstractNum w:abstractNumId="12" w15:restartNumberingAfterBreak="0">
    <w:nsid w:val="370459B1"/>
    <w:multiLevelType w:val="hybridMultilevel"/>
    <w:tmpl w:val="32FC6942"/>
    <w:lvl w:ilvl="0" w:tplc="F8A8CFFE">
      <w:start w:val="9"/>
      <w:numFmt w:val="bullet"/>
      <w:lvlText w:val="-"/>
      <w:lvlJc w:val="left"/>
      <w:pPr>
        <w:ind w:left="2235" w:hanging="360"/>
      </w:pPr>
      <w:rPr>
        <w:rFonts w:ascii="Times New Roman" w:eastAsiaTheme="minorHAnsi" w:hAnsi="Times New Roman" w:cs="Times New Roman" w:hint="default"/>
      </w:rPr>
    </w:lvl>
    <w:lvl w:ilvl="1" w:tplc="04260003" w:tentative="1">
      <w:start w:val="1"/>
      <w:numFmt w:val="bullet"/>
      <w:lvlText w:val="o"/>
      <w:lvlJc w:val="left"/>
      <w:pPr>
        <w:ind w:left="2595" w:hanging="360"/>
      </w:pPr>
      <w:rPr>
        <w:rFonts w:ascii="Courier New" w:hAnsi="Courier New" w:cs="Courier New" w:hint="default"/>
      </w:rPr>
    </w:lvl>
    <w:lvl w:ilvl="2" w:tplc="04260005" w:tentative="1">
      <w:start w:val="1"/>
      <w:numFmt w:val="bullet"/>
      <w:lvlText w:val=""/>
      <w:lvlJc w:val="left"/>
      <w:pPr>
        <w:ind w:left="3315" w:hanging="360"/>
      </w:pPr>
      <w:rPr>
        <w:rFonts w:ascii="Wingdings" w:hAnsi="Wingdings" w:hint="default"/>
      </w:rPr>
    </w:lvl>
    <w:lvl w:ilvl="3" w:tplc="04260001" w:tentative="1">
      <w:start w:val="1"/>
      <w:numFmt w:val="bullet"/>
      <w:lvlText w:val=""/>
      <w:lvlJc w:val="left"/>
      <w:pPr>
        <w:ind w:left="4035" w:hanging="360"/>
      </w:pPr>
      <w:rPr>
        <w:rFonts w:ascii="Symbol" w:hAnsi="Symbol" w:hint="default"/>
      </w:rPr>
    </w:lvl>
    <w:lvl w:ilvl="4" w:tplc="04260003" w:tentative="1">
      <w:start w:val="1"/>
      <w:numFmt w:val="bullet"/>
      <w:lvlText w:val="o"/>
      <w:lvlJc w:val="left"/>
      <w:pPr>
        <w:ind w:left="4755" w:hanging="360"/>
      </w:pPr>
      <w:rPr>
        <w:rFonts w:ascii="Courier New" w:hAnsi="Courier New" w:cs="Courier New" w:hint="default"/>
      </w:rPr>
    </w:lvl>
    <w:lvl w:ilvl="5" w:tplc="04260005" w:tentative="1">
      <w:start w:val="1"/>
      <w:numFmt w:val="bullet"/>
      <w:lvlText w:val=""/>
      <w:lvlJc w:val="left"/>
      <w:pPr>
        <w:ind w:left="5475" w:hanging="360"/>
      </w:pPr>
      <w:rPr>
        <w:rFonts w:ascii="Wingdings" w:hAnsi="Wingdings" w:hint="default"/>
      </w:rPr>
    </w:lvl>
    <w:lvl w:ilvl="6" w:tplc="04260001" w:tentative="1">
      <w:start w:val="1"/>
      <w:numFmt w:val="bullet"/>
      <w:lvlText w:val=""/>
      <w:lvlJc w:val="left"/>
      <w:pPr>
        <w:ind w:left="6195" w:hanging="360"/>
      </w:pPr>
      <w:rPr>
        <w:rFonts w:ascii="Symbol" w:hAnsi="Symbol" w:hint="default"/>
      </w:rPr>
    </w:lvl>
    <w:lvl w:ilvl="7" w:tplc="04260003" w:tentative="1">
      <w:start w:val="1"/>
      <w:numFmt w:val="bullet"/>
      <w:lvlText w:val="o"/>
      <w:lvlJc w:val="left"/>
      <w:pPr>
        <w:ind w:left="6915" w:hanging="360"/>
      </w:pPr>
      <w:rPr>
        <w:rFonts w:ascii="Courier New" w:hAnsi="Courier New" w:cs="Courier New" w:hint="default"/>
      </w:rPr>
    </w:lvl>
    <w:lvl w:ilvl="8" w:tplc="04260005" w:tentative="1">
      <w:start w:val="1"/>
      <w:numFmt w:val="bullet"/>
      <w:lvlText w:val=""/>
      <w:lvlJc w:val="left"/>
      <w:pPr>
        <w:ind w:left="7635" w:hanging="360"/>
      </w:pPr>
      <w:rPr>
        <w:rFonts w:ascii="Wingdings" w:hAnsi="Wingdings" w:hint="default"/>
      </w:rPr>
    </w:lvl>
  </w:abstractNum>
  <w:abstractNum w:abstractNumId="13" w15:restartNumberingAfterBreak="0">
    <w:nsid w:val="440B0CE9"/>
    <w:multiLevelType w:val="hybridMultilevel"/>
    <w:tmpl w:val="B10EFC58"/>
    <w:lvl w:ilvl="0" w:tplc="FE4C3E3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44F55D6"/>
    <w:multiLevelType w:val="hybridMultilevel"/>
    <w:tmpl w:val="753E6152"/>
    <w:lvl w:ilvl="0" w:tplc="7E609DA6">
      <w:start w:val="3"/>
      <w:numFmt w:val="bullet"/>
      <w:lvlText w:val="-"/>
      <w:lvlJc w:val="left"/>
      <w:pPr>
        <w:ind w:left="960" w:hanging="360"/>
      </w:pPr>
      <w:rPr>
        <w:rFonts w:ascii="Times New Roman" w:eastAsia="Times New Roman"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15" w15:restartNumberingAfterBreak="0">
    <w:nsid w:val="49837259"/>
    <w:multiLevelType w:val="hybridMultilevel"/>
    <w:tmpl w:val="4922EFF8"/>
    <w:lvl w:ilvl="0" w:tplc="04260001">
      <w:start w:val="1"/>
      <w:numFmt w:val="bullet"/>
      <w:lvlText w:val=""/>
      <w:lvlJc w:val="left"/>
      <w:pPr>
        <w:tabs>
          <w:tab w:val="num" w:pos="1440"/>
        </w:tabs>
        <w:ind w:left="1440" w:hanging="360"/>
      </w:pPr>
      <w:rPr>
        <w:rFonts w:ascii="Symbol" w:hAnsi="Symbol" w:hint="default"/>
      </w:rPr>
    </w:lvl>
    <w:lvl w:ilvl="1" w:tplc="04260003">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4E8632FD"/>
    <w:multiLevelType w:val="hybridMultilevel"/>
    <w:tmpl w:val="917A7404"/>
    <w:lvl w:ilvl="0" w:tplc="04260001">
      <w:start w:val="1"/>
      <w:numFmt w:val="bullet"/>
      <w:lvlText w:val=""/>
      <w:lvlJc w:val="left"/>
      <w:pPr>
        <w:ind w:left="1145" w:hanging="360"/>
      </w:pPr>
      <w:rPr>
        <w:rFonts w:ascii="Symbol" w:hAnsi="Symbol"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17" w15:restartNumberingAfterBreak="0">
    <w:nsid w:val="6BC36B2B"/>
    <w:multiLevelType w:val="hybridMultilevel"/>
    <w:tmpl w:val="BB58B3FC"/>
    <w:lvl w:ilvl="0" w:tplc="33721F6C">
      <w:start w:val="3"/>
      <w:numFmt w:val="bullet"/>
      <w:lvlText w:val="-"/>
      <w:lvlJc w:val="left"/>
      <w:pPr>
        <w:ind w:left="960" w:hanging="360"/>
      </w:pPr>
      <w:rPr>
        <w:rFonts w:ascii="Times New Roman" w:eastAsia="Times New Roman"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18" w15:restartNumberingAfterBreak="0">
    <w:nsid w:val="6C5121B1"/>
    <w:multiLevelType w:val="hybridMultilevel"/>
    <w:tmpl w:val="BE3CB9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C555321"/>
    <w:multiLevelType w:val="hybridMultilevel"/>
    <w:tmpl w:val="DBDAB3D8"/>
    <w:lvl w:ilvl="0" w:tplc="F8A8CFFE">
      <w:start w:val="9"/>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CCB68D1"/>
    <w:multiLevelType w:val="multilevel"/>
    <w:tmpl w:val="CE1201AC"/>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1" w15:restartNumberingAfterBreak="0">
    <w:nsid w:val="6F5D10B2"/>
    <w:multiLevelType w:val="multilevel"/>
    <w:tmpl w:val="5C6885E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0"/>
  </w:num>
  <w:num w:numId="2">
    <w:abstractNumId w:val="1"/>
  </w:num>
  <w:num w:numId="3">
    <w:abstractNumId w:val="18"/>
  </w:num>
  <w:num w:numId="4">
    <w:abstractNumId w:val="20"/>
  </w:num>
  <w:num w:numId="5">
    <w:abstractNumId w:val="21"/>
  </w:num>
  <w:num w:numId="6">
    <w:abstractNumId w:val="7"/>
  </w:num>
  <w:num w:numId="7">
    <w:abstractNumId w:val="11"/>
  </w:num>
  <w:num w:numId="8">
    <w:abstractNumId w:val="13"/>
  </w:num>
  <w:num w:numId="9">
    <w:abstractNumId w:val="15"/>
  </w:num>
  <w:num w:numId="10">
    <w:abstractNumId w:val="2"/>
  </w:num>
  <w:num w:numId="11">
    <w:abstractNumId w:val="3"/>
  </w:num>
  <w:num w:numId="12">
    <w:abstractNumId w:val="4"/>
  </w:num>
  <w:num w:numId="13">
    <w:abstractNumId w:val="9"/>
  </w:num>
  <w:num w:numId="14">
    <w:abstractNumId w:val="12"/>
  </w:num>
  <w:num w:numId="15">
    <w:abstractNumId w:val="19"/>
  </w:num>
  <w:num w:numId="16">
    <w:abstractNumId w:val="8"/>
  </w:num>
  <w:num w:numId="17">
    <w:abstractNumId w:val="0"/>
  </w:num>
  <w:num w:numId="18">
    <w:abstractNumId w:val="16"/>
  </w:num>
  <w:num w:numId="19">
    <w:abstractNumId w:val="6"/>
  </w:num>
  <w:num w:numId="20">
    <w:abstractNumId w:val="17"/>
  </w:num>
  <w:num w:numId="21">
    <w:abstractNumId w:val="14"/>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087"/>
    <w:rsid w:val="000013ED"/>
    <w:rsid w:val="00001E7A"/>
    <w:rsid w:val="00001F98"/>
    <w:rsid w:val="0000254F"/>
    <w:rsid w:val="00003371"/>
    <w:rsid w:val="00003BFD"/>
    <w:rsid w:val="0000491A"/>
    <w:rsid w:val="00006286"/>
    <w:rsid w:val="00007929"/>
    <w:rsid w:val="0001086E"/>
    <w:rsid w:val="00010BF9"/>
    <w:rsid w:val="00011445"/>
    <w:rsid w:val="0001434B"/>
    <w:rsid w:val="00016032"/>
    <w:rsid w:val="000165C1"/>
    <w:rsid w:val="000168D8"/>
    <w:rsid w:val="000168FC"/>
    <w:rsid w:val="00016F6E"/>
    <w:rsid w:val="000173EC"/>
    <w:rsid w:val="0002042E"/>
    <w:rsid w:val="0002081B"/>
    <w:rsid w:val="00022E5C"/>
    <w:rsid w:val="00023CF0"/>
    <w:rsid w:val="000249E7"/>
    <w:rsid w:val="0002569C"/>
    <w:rsid w:val="000268E4"/>
    <w:rsid w:val="00026C20"/>
    <w:rsid w:val="000272DB"/>
    <w:rsid w:val="00027A54"/>
    <w:rsid w:val="00027C75"/>
    <w:rsid w:val="0003005C"/>
    <w:rsid w:val="0003014F"/>
    <w:rsid w:val="00030289"/>
    <w:rsid w:val="000310FE"/>
    <w:rsid w:val="00033FF5"/>
    <w:rsid w:val="00034A97"/>
    <w:rsid w:val="00036187"/>
    <w:rsid w:val="000362A8"/>
    <w:rsid w:val="00037970"/>
    <w:rsid w:val="00037A76"/>
    <w:rsid w:val="0004058F"/>
    <w:rsid w:val="00040CDA"/>
    <w:rsid w:val="00041BF8"/>
    <w:rsid w:val="00042718"/>
    <w:rsid w:val="00043122"/>
    <w:rsid w:val="000457A0"/>
    <w:rsid w:val="00046580"/>
    <w:rsid w:val="000466AD"/>
    <w:rsid w:val="0005019E"/>
    <w:rsid w:val="00050C07"/>
    <w:rsid w:val="00052087"/>
    <w:rsid w:val="000521F6"/>
    <w:rsid w:val="000523F9"/>
    <w:rsid w:val="0005300D"/>
    <w:rsid w:val="0005334C"/>
    <w:rsid w:val="000533BC"/>
    <w:rsid w:val="00055410"/>
    <w:rsid w:val="00056DE8"/>
    <w:rsid w:val="00057A5E"/>
    <w:rsid w:val="00061A6C"/>
    <w:rsid w:val="00061F06"/>
    <w:rsid w:val="0006259F"/>
    <w:rsid w:val="00064DC5"/>
    <w:rsid w:val="0006505C"/>
    <w:rsid w:val="00066DF5"/>
    <w:rsid w:val="00070A95"/>
    <w:rsid w:val="00070EB7"/>
    <w:rsid w:val="000715D2"/>
    <w:rsid w:val="0007466E"/>
    <w:rsid w:val="000751AB"/>
    <w:rsid w:val="00075544"/>
    <w:rsid w:val="000770DF"/>
    <w:rsid w:val="00077CEE"/>
    <w:rsid w:val="000831EA"/>
    <w:rsid w:val="000836DB"/>
    <w:rsid w:val="00083CE0"/>
    <w:rsid w:val="000840BF"/>
    <w:rsid w:val="00084CE0"/>
    <w:rsid w:val="00087B5A"/>
    <w:rsid w:val="00090CDE"/>
    <w:rsid w:val="00090E50"/>
    <w:rsid w:val="00090EE8"/>
    <w:rsid w:val="00095E32"/>
    <w:rsid w:val="000962EB"/>
    <w:rsid w:val="0009759F"/>
    <w:rsid w:val="0009782B"/>
    <w:rsid w:val="000A00E3"/>
    <w:rsid w:val="000A0E09"/>
    <w:rsid w:val="000A1480"/>
    <w:rsid w:val="000A28F1"/>
    <w:rsid w:val="000A486E"/>
    <w:rsid w:val="000A4F20"/>
    <w:rsid w:val="000A5EB3"/>
    <w:rsid w:val="000A6C9C"/>
    <w:rsid w:val="000A6F98"/>
    <w:rsid w:val="000A75D8"/>
    <w:rsid w:val="000B1A3D"/>
    <w:rsid w:val="000B3361"/>
    <w:rsid w:val="000B6B88"/>
    <w:rsid w:val="000B732C"/>
    <w:rsid w:val="000B758B"/>
    <w:rsid w:val="000B7F6F"/>
    <w:rsid w:val="000C1B2D"/>
    <w:rsid w:val="000C24AC"/>
    <w:rsid w:val="000C2858"/>
    <w:rsid w:val="000C2D90"/>
    <w:rsid w:val="000C357D"/>
    <w:rsid w:val="000C361E"/>
    <w:rsid w:val="000C3E19"/>
    <w:rsid w:val="000C498A"/>
    <w:rsid w:val="000C7789"/>
    <w:rsid w:val="000D14A0"/>
    <w:rsid w:val="000D1F30"/>
    <w:rsid w:val="000D2445"/>
    <w:rsid w:val="000D3096"/>
    <w:rsid w:val="000D397B"/>
    <w:rsid w:val="000D3E04"/>
    <w:rsid w:val="000D44DF"/>
    <w:rsid w:val="000D4AE2"/>
    <w:rsid w:val="000D51D0"/>
    <w:rsid w:val="000D6EFB"/>
    <w:rsid w:val="000D6FD7"/>
    <w:rsid w:val="000D71B9"/>
    <w:rsid w:val="000D7251"/>
    <w:rsid w:val="000D7BD6"/>
    <w:rsid w:val="000E0E9B"/>
    <w:rsid w:val="000E18D1"/>
    <w:rsid w:val="000E19A1"/>
    <w:rsid w:val="000E26CF"/>
    <w:rsid w:val="000E3F69"/>
    <w:rsid w:val="000E5F34"/>
    <w:rsid w:val="000E6ABA"/>
    <w:rsid w:val="000E761B"/>
    <w:rsid w:val="000F121E"/>
    <w:rsid w:val="000F18B3"/>
    <w:rsid w:val="000F193E"/>
    <w:rsid w:val="000F197B"/>
    <w:rsid w:val="000F43F7"/>
    <w:rsid w:val="000F5778"/>
    <w:rsid w:val="001018C1"/>
    <w:rsid w:val="00101F0B"/>
    <w:rsid w:val="00102CDA"/>
    <w:rsid w:val="00102D8B"/>
    <w:rsid w:val="00104426"/>
    <w:rsid w:val="00104528"/>
    <w:rsid w:val="0010581C"/>
    <w:rsid w:val="00106DBB"/>
    <w:rsid w:val="00111695"/>
    <w:rsid w:val="001119B5"/>
    <w:rsid w:val="00111BFE"/>
    <w:rsid w:val="00112686"/>
    <w:rsid w:val="001129D6"/>
    <w:rsid w:val="00115418"/>
    <w:rsid w:val="0011670D"/>
    <w:rsid w:val="001170D0"/>
    <w:rsid w:val="00120327"/>
    <w:rsid w:val="00122EFD"/>
    <w:rsid w:val="0012432F"/>
    <w:rsid w:val="00124F65"/>
    <w:rsid w:val="0012650F"/>
    <w:rsid w:val="001271E2"/>
    <w:rsid w:val="001329E8"/>
    <w:rsid w:val="00132A57"/>
    <w:rsid w:val="0013328D"/>
    <w:rsid w:val="00135779"/>
    <w:rsid w:val="001369E3"/>
    <w:rsid w:val="001379B3"/>
    <w:rsid w:val="00137ECB"/>
    <w:rsid w:val="00143BF3"/>
    <w:rsid w:val="001453D5"/>
    <w:rsid w:val="00146048"/>
    <w:rsid w:val="00151CBC"/>
    <w:rsid w:val="001526EF"/>
    <w:rsid w:val="00153315"/>
    <w:rsid w:val="001548D6"/>
    <w:rsid w:val="00155032"/>
    <w:rsid w:val="00155721"/>
    <w:rsid w:val="00157E1A"/>
    <w:rsid w:val="001609D1"/>
    <w:rsid w:val="001617F4"/>
    <w:rsid w:val="0016440B"/>
    <w:rsid w:val="001656CD"/>
    <w:rsid w:val="001669C8"/>
    <w:rsid w:val="00166BF9"/>
    <w:rsid w:val="00167C4E"/>
    <w:rsid w:val="0017042E"/>
    <w:rsid w:val="001705DC"/>
    <w:rsid w:val="00170B84"/>
    <w:rsid w:val="00170C84"/>
    <w:rsid w:val="00170DAC"/>
    <w:rsid w:val="00172831"/>
    <w:rsid w:val="00173E9C"/>
    <w:rsid w:val="00174162"/>
    <w:rsid w:val="00174834"/>
    <w:rsid w:val="00174C55"/>
    <w:rsid w:val="001761D7"/>
    <w:rsid w:val="00180AF2"/>
    <w:rsid w:val="00181484"/>
    <w:rsid w:val="001832B7"/>
    <w:rsid w:val="0018569E"/>
    <w:rsid w:val="00186F9A"/>
    <w:rsid w:val="0018726A"/>
    <w:rsid w:val="001872EF"/>
    <w:rsid w:val="001913C5"/>
    <w:rsid w:val="00191427"/>
    <w:rsid w:val="001922A7"/>
    <w:rsid w:val="00192B04"/>
    <w:rsid w:val="001938C1"/>
    <w:rsid w:val="00197886"/>
    <w:rsid w:val="001A0CB5"/>
    <w:rsid w:val="001A1A87"/>
    <w:rsid w:val="001A1F53"/>
    <w:rsid w:val="001A24F1"/>
    <w:rsid w:val="001A2894"/>
    <w:rsid w:val="001A338A"/>
    <w:rsid w:val="001A54B8"/>
    <w:rsid w:val="001A597A"/>
    <w:rsid w:val="001A6063"/>
    <w:rsid w:val="001A62A1"/>
    <w:rsid w:val="001B0708"/>
    <w:rsid w:val="001B249D"/>
    <w:rsid w:val="001B31B0"/>
    <w:rsid w:val="001B3306"/>
    <w:rsid w:val="001B346E"/>
    <w:rsid w:val="001B488E"/>
    <w:rsid w:val="001B5365"/>
    <w:rsid w:val="001B638A"/>
    <w:rsid w:val="001C22F1"/>
    <w:rsid w:val="001C22F3"/>
    <w:rsid w:val="001C238D"/>
    <w:rsid w:val="001C2A9E"/>
    <w:rsid w:val="001C31FD"/>
    <w:rsid w:val="001C486A"/>
    <w:rsid w:val="001C64B2"/>
    <w:rsid w:val="001C7282"/>
    <w:rsid w:val="001C7973"/>
    <w:rsid w:val="001D036D"/>
    <w:rsid w:val="001D036F"/>
    <w:rsid w:val="001D0CEA"/>
    <w:rsid w:val="001D115A"/>
    <w:rsid w:val="001D168A"/>
    <w:rsid w:val="001D17BE"/>
    <w:rsid w:val="001D1E8F"/>
    <w:rsid w:val="001D1F5C"/>
    <w:rsid w:val="001D2964"/>
    <w:rsid w:val="001D4581"/>
    <w:rsid w:val="001D7A90"/>
    <w:rsid w:val="001D7C7D"/>
    <w:rsid w:val="001E072F"/>
    <w:rsid w:val="001E2E1B"/>
    <w:rsid w:val="001E5604"/>
    <w:rsid w:val="001E71BC"/>
    <w:rsid w:val="001E763B"/>
    <w:rsid w:val="001F101F"/>
    <w:rsid w:val="001F18DB"/>
    <w:rsid w:val="001F218C"/>
    <w:rsid w:val="001F2CBD"/>
    <w:rsid w:val="001F4128"/>
    <w:rsid w:val="001F5952"/>
    <w:rsid w:val="001F5973"/>
    <w:rsid w:val="0020015B"/>
    <w:rsid w:val="00200341"/>
    <w:rsid w:val="00200474"/>
    <w:rsid w:val="0020064A"/>
    <w:rsid w:val="002014FF"/>
    <w:rsid w:val="0020228B"/>
    <w:rsid w:val="00202AA4"/>
    <w:rsid w:val="00203709"/>
    <w:rsid w:val="00204975"/>
    <w:rsid w:val="00204C8F"/>
    <w:rsid w:val="00205235"/>
    <w:rsid w:val="00205382"/>
    <w:rsid w:val="00206393"/>
    <w:rsid w:val="0021043D"/>
    <w:rsid w:val="0021063C"/>
    <w:rsid w:val="0021253D"/>
    <w:rsid w:val="002127C1"/>
    <w:rsid w:val="002132A3"/>
    <w:rsid w:val="0021391D"/>
    <w:rsid w:val="0021392E"/>
    <w:rsid w:val="00213B16"/>
    <w:rsid w:val="002176F3"/>
    <w:rsid w:val="00222E2C"/>
    <w:rsid w:val="00223FF2"/>
    <w:rsid w:val="0022451F"/>
    <w:rsid w:val="002248AD"/>
    <w:rsid w:val="002269D2"/>
    <w:rsid w:val="0022718E"/>
    <w:rsid w:val="00230462"/>
    <w:rsid w:val="0023054C"/>
    <w:rsid w:val="002325CE"/>
    <w:rsid w:val="00233263"/>
    <w:rsid w:val="002333B4"/>
    <w:rsid w:val="00233532"/>
    <w:rsid w:val="00233C16"/>
    <w:rsid w:val="00236A65"/>
    <w:rsid w:val="00240BD6"/>
    <w:rsid w:val="0024496D"/>
    <w:rsid w:val="00245D3F"/>
    <w:rsid w:val="002471CE"/>
    <w:rsid w:val="00247521"/>
    <w:rsid w:val="002501F3"/>
    <w:rsid w:val="00250375"/>
    <w:rsid w:val="00251C86"/>
    <w:rsid w:val="00251F34"/>
    <w:rsid w:val="0025286E"/>
    <w:rsid w:val="00252AC2"/>
    <w:rsid w:val="00252D37"/>
    <w:rsid w:val="002531F4"/>
    <w:rsid w:val="002542A9"/>
    <w:rsid w:val="002548B2"/>
    <w:rsid w:val="00254F44"/>
    <w:rsid w:val="00255810"/>
    <w:rsid w:val="00257863"/>
    <w:rsid w:val="00261CA7"/>
    <w:rsid w:val="00262C97"/>
    <w:rsid w:val="0026457E"/>
    <w:rsid w:val="00265200"/>
    <w:rsid w:val="00265549"/>
    <w:rsid w:val="00266F01"/>
    <w:rsid w:val="00267A3E"/>
    <w:rsid w:val="0027036D"/>
    <w:rsid w:val="002713D8"/>
    <w:rsid w:val="00272C32"/>
    <w:rsid w:val="00275AD5"/>
    <w:rsid w:val="00276133"/>
    <w:rsid w:val="0027779E"/>
    <w:rsid w:val="00280290"/>
    <w:rsid w:val="002802FF"/>
    <w:rsid w:val="00280A26"/>
    <w:rsid w:val="00281063"/>
    <w:rsid w:val="0028201C"/>
    <w:rsid w:val="002829B4"/>
    <w:rsid w:val="0028375F"/>
    <w:rsid w:val="002840BB"/>
    <w:rsid w:val="00284FE2"/>
    <w:rsid w:val="002861BF"/>
    <w:rsid w:val="00287E12"/>
    <w:rsid w:val="00290EBF"/>
    <w:rsid w:val="0029162D"/>
    <w:rsid w:val="00291E49"/>
    <w:rsid w:val="00293A2F"/>
    <w:rsid w:val="00294BCD"/>
    <w:rsid w:val="00294C64"/>
    <w:rsid w:val="00297F76"/>
    <w:rsid w:val="002A0BA9"/>
    <w:rsid w:val="002A2044"/>
    <w:rsid w:val="002A3622"/>
    <w:rsid w:val="002A3D3F"/>
    <w:rsid w:val="002A539C"/>
    <w:rsid w:val="002A5716"/>
    <w:rsid w:val="002A7800"/>
    <w:rsid w:val="002A7E67"/>
    <w:rsid w:val="002B004C"/>
    <w:rsid w:val="002B144B"/>
    <w:rsid w:val="002B170A"/>
    <w:rsid w:val="002B2A5C"/>
    <w:rsid w:val="002B3ADE"/>
    <w:rsid w:val="002B6356"/>
    <w:rsid w:val="002B63D0"/>
    <w:rsid w:val="002B64E5"/>
    <w:rsid w:val="002B795F"/>
    <w:rsid w:val="002C14A9"/>
    <w:rsid w:val="002C275B"/>
    <w:rsid w:val="002C6358"/>
    <w:rsid w:val="002C77B3"/>
    <w:rsid w:val="002D0272"/>
    <w:rsid w:val="002D08A8"/>
    <w:rsid w:val="002D13DA"/>
    <w:rsid w:val="002D194A"/>
    <w:rsid w:val="002D2D6B"/>
    <w:rsid w:val="002D598F"/>
    <w:rsid w:val="002D5F64"/>
    <w:rsid w:val="002D67CE"/>
    <w:rsid w:val="002E0693"/>
    <w:rsid w:val="002E4347"/>
    <w:rsid w:val="002E6283"/>
    <w:rsid w:val="002E639D"/>
    <w:rsid w:val="002E6FDD"/>
    <w:rsid w:val="002F02E4"/>
    <w:rsid w:val="002F2396"/>
    <w:rsid w:val="002F24B5"/>
    <w:rsid w:val="002F487A"/>
    <w:rsid w:val="002F60AD"/>
    <w:rsid w:val="002F60FE"/>
    <w:rsid w:val="002F72FC"/>
    <w:rsid w:val="0030151E"/>
    <w:rsid w:val="003019CE"/>
    <w:rsid w:val="0030337F"/>
    <w:rsid w:val="00303F65"/>
    <w:rsid w:val="0030771C"/>
    <w:rsid w:val="00310B9B"/>
    <w:rsid w:val="003130A6"/>
    <w:rsid w:val="0031561B"/>
    <w:rsid w:val="003158B2"/>
    <w:rsid w:val="0031679D"/>
    <w:rsid w:val="00316A98"/>
    <w:rsid w:val="00323037"/>
    <w:rsid w:val="003255B9"/>
    <w:rsid w:val="0032723C"/>
    <w:rsid w:val="003279D2"/>
    <w:rsid w:val="003304B5"/>
    <w:rsid w:val="003306D4"/>
    <w:rsid w:val="00330BAF"/>
    <w:rsid w:val="00331BE8"/>
    <w:rsid w:val="003320E1"/>
    <w:rsid w:val="00332164"/>
    <w:rsid w:val="003338F1"/>
    <w:rsid w:val="00333C1C"/>
    <w:rsid w:val="0033498B"/>
    <w:rsid w:val="00334B21"/>
    <w:rsid w:val="00337354"/>
    <w:rsid w:val="00337D95"/>
    <w:rsid w:val="0034042E"/>
    <w:rsid w:val="003409C6"/>
    <w:rsid w:val="0034139F"/>
    <w:rsid w:val="00341935"/>
    <w:rsid w:val="00344100"/>
    <w:rsid w:val="0034468B"/>
    <w:rsid w:val="003472C9"/>
    <w:rsid w:val="0035099A"/>
    <w:rsid w:val="00351A4E"/>
    <w:rsid w:val="00352624"/>
    <w:rsid w:val="00353990"/>
    <w:rsid w:val="00353C23"/>
    <w:rsid w:val="003555E1"/>
    <w:rsid w:val="0035628F"/>
    <w:rsid w:val="00356421"/>
    <w:rsid w:val="00357C91"/>
    <w:rsid w:val="00357F25"/>
    <w:rsid w:val="003618EB"/>
    <w:rsid w:val="00361EF5"/>
    <w:rsid w:val="00363877"/>
    <w:rsid w:val="003643FD"/>
    <w:rsid w:val="003644F9"/>
    <w:rsid w:val="00365542"/>
    <w:rsid w:val="0036721E"/>
    <w:rsid w:val="003672EC"/>
    <w:rsid w:val="0036755A"/>
    <w:rsid w:val="00367743"/>
    <w:rsid w:val="003708BB"/>
    <w:rsid w:val="00370CC3"/>
    <w:rsid w:val="00371017"/>
    <w:rsid w:val="0037218F"/>
    <w:rsid w:val="0037313B"/>
    <w:rsid w:val="00373566"/>
    <w:rsid w:val="00373599"/>
    <w:rsid w:val="00373619"/>
    <w:rsid w:val="00373ABE"/>
    <w:rsid w:val="00374CFC"/>
    <w:rsid w:val="00375C3E"/>
    <w:rsid w:val="003772DB"/>
    <w:rsid w:val="00377F97"/>
    <w:rsid w:val="00380C92"/>
    <w:rsid w:val="00381871"/>
    <w:rsid w:val="003835C0"/>
    <w:rsid w:val="00385B06"/>
    <w:rsid w:val="00387ABD"/>
    <w:rsid w:val="0039108A"/>
    <w:rsid w:val="00391A17"/>
    <w:rsid w:val="00391E19"/>
    <w:rsid w:val="00393216"/>
    <w:rsid w:val="0039396E"/>
    <w:rsid w:val="00393D93"/>
    <w:rsid w:val="00393E6F"/>
    <w:rsid w:val="00394CDA"/>
    <w:rsid w:val="00395DD8"/>
    <w:rsid w:val="00397DCA"/>
    <w:rsid w:val="003A24B4"/>
    <w:rsid w:val="003A2946"/>
    <w:rsid w:val="003A2ACE"/>
    <w:rsid w:val="003A2F6D"/>
    <w:rsid w:val="003A3664"/>
    <w:rsid w:val="003A4690"/>
    <w:rsid w:val="003A4EB5"/>
    <w:rsid w:val="003A4F73"/>
    <w:rsid w:val="003A6FB8"/>
    <w:rsid w:val="003A7342"/>
    <w:rsid w:val="003A7425"/>
    <w:rsid w:val="003B04D2"/>
    <w:rsid w:val="003B09B4"/>
    <w:rsid w:val="003B539F"/>
    <w:rsid w:val="003B542A"/>
    <w:rsid w:val="003B6423"/>
    <w:rsid w:val="003B6B4C"/>
    <w:rsid w:val="003B7B71"/>
    <w:rsid w:val="003C32ED"/>
    <w:rsid w:val="003C4468"/>
    <w:rsid w:val="003C4E7E"/>
    <w:rsid w:val="003C55D7"/>
    <w:rsid w:val="003C5FAA"/>
    <w:rsid w:val="003C6FFE"/>
    <w:rsid w:val="003D07C0"/>
    <w:rsid w:val="003D1346"/>
    <w:rsid w:val="003D2E39"/>
    <w:rsid w:val="003D37C3"/>
    <w:rsid w:val="003D45E6"/>
    <w:rsid w:val="003D4E3A"/>
    <w:rsid w:val="003D55CF"/>
    <w:rsid w:val="003D5B1B"/>
    <w:rsid w:val="003D71E8"/>
    <w:rsid w:val="003D75D2"/>
    <w:rsid w:val="003D770A"/>
    <w:rsid w:val="003E06CE"/>
    <w:rsid w:val="003E0D3E"/>
    <w:rsid w:val="003E1A8A"/>
    <w:rsid w:val="003E2176"/>
    <w:rsid w:val="003E4710"/>
    <w:rsid w:val="003E4CE7"/>
    <w:rsid w:val="003E611A"/>
    <w:rsid w:val="003E6674"/>
    <w:rsid w:val="003E6AFA"/>
    <w:rsid w:val="003E79A7"/>
    <w:rsid w:val="003F2269"/>
    <w:rsid w:val="003F4A0B"/>
    <w:rsid w:val="003F574D"/>
    <w:rsid w:val="003F5D70"/>
    <w:rsid w:val="003F7595"/>
    <w:rsid w:val="004007C5"/>
    <w:rsid w:val="00400F2A"/>
    <w:rsid w:val="00401A2B"/>
    <w:rsid w:val="004047EB"/>
    <w:rsid w:val="00404D86"/>
    <w:rsid w:val="004059C7"/>
    <w:rsid w:val="00406F83"/>
    <w:rsid w:val="004077B7"/>
    <w:rsid w:val="004079FE"/>
    <w:rsid w:val="0041143A"/>
    <w:rsid w:val="00413C62"/>
    <w:rsid w:val="004169D9"/>
    <w:rsid w:val="00416B95"/>
    <w:rsid w:val="00417FFA"/>
    <w:rsid w:val="00421143"/>
    <w:rsid w:val="004211CF"/>
    <w:rsid w:val="00422360"/>
    <w:rsid w:val="0042358D"/>
    <w:rsid w:val="00423A97"/>
    <w:rsid w:val="00423CF5"/>
    <w:rsid w:val="0042564B"/>
    <w:rsid w:val="004271A6"/>
    <w:rsid w:val="0042740D"/>
    <w:rsid w:val="00427F41"/>
    <w:rsid w:val="00430064"/>
    <w:rsid w:val="004304B6"/>
    <w:rsid w:val="00430630"/>
    <w:rsid w:val="00430D93"/>
    <w:rsid w:val="004314DF"/>
    <w:rsid w:val="004320F3"/>
    <w:rsid w:val="004323A9"/>
    <w:rsid w:val="004327BB"/>
    <w:rsid w:val="00432F19"/>
    <w:rsid w:val="004335BD"/>
    <w:rsid w:val="00433AC9"/>
    <w:rsid w:val="004353F6"/>
    <w:rsid w:val="004375EC"/>
    <w:rsid w:val="00437B87"/>
    <w:rsid w:val="00437EAB"/>
    <w:rsid w:val="004400E6"/>
    <w:rsid w:val="00441310"/>
    <w:rsid w:val="0044183D"/>
    <w:rsid w:val="00441CA7"/>
    <w:rsid w:val="00442BD8"/>
    <w:rsid w:val="00442F13"/>
    <w:rsid w:val="00445FD4"/>
    <w:rsid w:val="0044601D"/>
    <w:rsid w:val="00446F05"/>
    <w:rsid w:val="004472DA"/>
    <w:rsid w:val="00447724"/>
    <w:rsid w:val="00450000"/>
    <w:rsid w:val="00453085"/>
    <w:rsid w:val="00454749"/>
    <w:rsid w:val="00456266"/>
    <w:rsid w:val="0046122F"/>
    <w:rsid w:val="004620FB"/>
    <w:rsid w:val="0046246A"/>
    <w:rsid w:val="0046279F"/>
    <w:rsid w:val="00462DF7"/>
    <w:rsid w:val="004638FA"/>
    <w:rsid w:val="004645AE"/>
    <w:rsid w:val="00465782"/>
    <w:rsid w:val="00466505"/>
    <w:rsid w:val="004671AA"/>
    <w:rsid w:val="004701AA"/>
    <w:rsid w:val="004705E3"/>
    <w:rsid w:val="00470905"/>
    <w:rsid w:val="00470E7F"/>
    <w:rsid w:val="004736A8"/>
    <w:rsid w:val="0047376E"/>
    <w:rsid w:val="00473BEF"/>
    <w:rsid w:val="00473D58"/>
    <w:rsid w:val="0047505E"/>
    <w:rsid w:val="0047534B"/>
    <w:rsid w:val="004759D2"/>
    <w:rsid w:val="0047655D"/>
    <w:rsid w:val="0047718A"/>
    <w:rsid w:val="00482478"/>
    <w:rsid w:val="00483214"/>
    <w:rsid w:val="004834B5"/>
    <w:rsid w:val="00483582"/>
    <w:rsid w:val="00483A75"/>
    <w:rsid w:val="00483D0A"/>
    <w:rsid w:val="0048539D"/>
    <w:rsid w:val="004860AD"/>
    <w:rsid w:val="00486CE6"/>
    <w:rsid w:val="00487D2F"/>
    <w:rsid w:val="004915CE"/>
    <w:rsid w:val="00491D36"/>
    <w:rsid w:val="004930DF"/>
    <w:rsid w:val="004941B4"/>
    <w:rsid w:val="0049448E"/>
    <w:rsid w:val="00495620"/>
    <w:rsid w:val="0049687F"/>
    <w:rsid w:val="00496891"/>
    <w:rsid w:val="00497289"/>
    <w:rsid w:val="004A1656"/>
    <w:rsid w:val="004A24A1"/>
    <w:rsid w:val="004A24A8"/>
    <w:rsid w:val="004A431D"/>
    <w:rsid w:val="004A4793"/>
    <w:rsid w:val="004A5069"/>
    <w:rsid w:val="004A596A"/>
    <w:rsid w:val="004A67DF"/>
    <w:rsid w:val="004A7577"/>
    <w:rsid w:val="004B03C9"/>
    <w:rsid w:val="004B05B2"/>
    <w:rsid w:val="004B1038"/>
    <w:rsid w:val="004B1227"/>
    <w:rsid w:val="004B1FDA"/>
    <w:rsid w:val="004B27FE"/>
    <w:rsid w:val="004B3059"/>
    <w:rsid w:val="004B351E"/>
    <w:rsid w:val="004B6843"/>
    <w:rsid w:val="004B7332"/>
    <w:rsid w:val="004B7594"/>
    <w:rsid w:val="004C1F92"/>
    <w:rsid w:val="004C24DD"/>
    <w:rsid w:val="004C2C3E"/>
    <w:rsid w:val="004C32EA"/>
    <w:rsid w:val="004C5C1C"/>
    <w:rsid w:val="004C60D7"/>
    <w:rsid w:val="004C6D56"/>
    <w:rsid w:val="004D0F3B"/>
    <w:rsid w:val="004D39C5"/>
    <w:rsid w:val="004D436E"/>
    <w:rsid w:val="004D48A8"/>
    <w:rsid w:val="004D52BE"/>
    <w:rsid w:val="004D714B"/>
    <w:rsid w:val="004E0603"/>
    <w:rsid w:val="004E4558"/>
    <w:rsid w:val="004E58C4"/>
    <w:rsid w:val="004E62B8"/>
    <w:rsid w:val="004E67C2"/>
    <w:rsid w:val="004F0680"/>
    <w:rsid w:val="004F09EC"/>
    <w:rsid w:val="004F0BDE"/>
    <w:rsid w:val="004F190C"/>
    <w:rsid w:val="004F25B6"/>
    <w:rsid w:val="004F4134"/>
    <w:rsid w:val="004F4175"/>
    <w:rsid w:val="004F47C4"/>
    <w:rsid w:val="004F4F2B"/>
    <w:rsid w:val="004F64C5"/>
    <w:rsid w:val="004F72F6"/>
    <w:rsid w:val="004F7A1B"/>
    <w:rsid w:val="004F7C02"/>
    <w:rsid w:val="00500E60"/>
    <w:rsid w:val="0050259C"/>
    <w:rsid w:val="005039B1"/>
    <w:rsid w:val="00505543"/>
    <w:rsid w:val="00505C5A"/>
    <w:rsid w:val="00506D9B"/>
    <w:rsid w:val="0050747F"/>
    <w:rsid w:val="0051082A"/>
    <w:rsid w:val="00510EA4"/>
    <w:rsid w:val="00511DD3"/>
    <w:rsid w:val="005129F5"/>
    <w:rsid w:val="00514E0E"/>
    <w:rsid w:val="0051538C"/>
    <w:rsid w:val="0051735F"/>
    <w:rsid w:val="00520A9D"/>
    <w:rsid w:val="00521B60"/>
    <w:rsid w:val="00522414"/>
    <w:rsid w:val="00522C25"/>
    <w:rsid w:val="0052622A"/>
    <w:rsid w:val="005269BE"/>
    <w:rsid w:val="005272F9"/>
    <w:rsid w:val="00531CD0"/>
    <w:rsid w:val="005346FD"/>
    <w:rsid w:val="00534C02"/>
    <w:rsid w:val="005357C7"/>
    <w:rsid w:val="00535AF1"/>
    <w:rsid w:val="00540292"/>
    <w:rsid w:val="00541715"/>
    <w:rsid w:val="00541733"/>
    <w:rsid w:val="0054266D"/>
    <w:rsid w:val="00542F66"/>
    <w:rsid w:val="00543BFD"/>
    <w:rsid w:val="00544A4E"/>
    <w:rsid w:val="00544E6F"/>
    <w:rsid w:val="00545465"/>
    <w:rsid w:val="0054589A"/>
    <w:rsid w:val="00546DCD"/>
    <w:rsid w:val="00550E4E"/>
    <w:rsid w:val="00551F29"/>
    <w:rsid w:val="00551FA2"/>
    <w:rsid w:val="00552442"/>
    <w:rsid w:val="005573D4"/>
    <w:rsid w:val="00557B2C"/>
    <w:rsid w:val="00561B09"/>
    <w:rsid w:val="00562360"/>
    <w:rsid w:val="00563586"/>
    <w:rsid w:val="00563621"/>
    <w:rsid w:val="00565585"/>
    <w:rsid w:val="00565661"/>
    <w:rsid w:val="00567102"/>
    <w:rsid w:val="0057233B"/>
    <w:rsid w:val="005736DA"/>
    <w:rsid w:val="005738E0"/>
    <w:rsid w:val="005740B0"/>
    <w:rsid w:val="0057524F"/>
    <w:rsid w:val="00576229"/>
    <w:rsid w:val="00580772"/>
    <w:rsid w:val="00581652"/>
    <w:rsid w:val="0058347A"/>
    <w:rsid w:val="005839C0"/>
    <w:rsid w:val="00584210"/>
    <w:rsid w:val="00585193"/>
    <w:rsid w:val="00585916"/>
    <w:rsid w:val="00585AA2"/>
    <w:rsid w:val="005864B8"/>
    <w:rsid w:val="005867F9"/>
    <w:rsid w:val="00590464"/>
    <w:rsid w:val="00590B46"/>
    <w:rsid w:val="00591776"/>
    <w:rsid w:val="00593637"/>
    <w:rsid w:val="005945E3"/>
    <w:rsid w:val="0059509B"/>
    <w:rsid w:val="005958D3"/>
    <w:rsid w:val="005A0C49"/>
    <w:rsid w:val="005A1BC6"/>
    <w:rsid w:val="005A24FF"/>
    <w:rsid w:val="005A30B6"/>
    <w:rsid w:val="005A3AAC"/>
    <w:rsid w:val="005A3C59"/>
    <w:rsid w:val="005A5723"/>
    <w:rsid w:val="005A7332"/>
    <w:rsid w:val="005A771B"/>
    <w:rsid w:val="005B08FD"/>
    <w:rsid w:val="005B0DA7"/>
    <w:rsid w:val="005B11BB"/>
    <w:rsid w:val="005B314E"/>
    <w:rsid w:val="005B36CE"/>
    <w:rsid w:val="005B4026"/>
    <w:rsid w:val="005B6F52"/>
    <w:rsid w:val="005C07B0"/>
    <w:rsid w:val="005C0B42"/>
    <w:rsid w:val="005C161B"/>
    <w:rsid w:val="005C4C64"/>
    <w:rsid w:val="005C50D9"/>
    <w:rsid w:val="005C5158"/>
    <w:rsid w:val="005C6D9F"/>
    <w:rsid w:val="005C6F47"/>
    <w:rsid w:val="005C70EE"/>
    <w:rsid w:val="005D039A"/>
    <w:rsid w:val="005D10E9"/>
    <w:rsid w:val="005D1291"/>
    <w:rsid w:val="005D1A17"/>
    <w:rsid w:val="005D3027"/>
    <w:rsid w:val="005D419A"/>
    <w:rsid w:val="005D4D95"/>
    <w:rsid w:val="005D4E1D"/>
    <w:rsid w:val="005D5231"/>
    <w:rsid w:val="005D587E"/>
    <w:rsid w:val="005D5B60"/>
    <w:rsid w:val="005D6657"/>
    <w:rsid w:val="005E1003"/>
    <w:rsid w:val="005E23C5"/>
    <w:rsid w:val="005E2B2B"/>
    <w:rsid w:val="005E32C0"/>
    <w:rsid w:val="005E450A"/>
    <w:rsid w:val="005E5416"/>
    <w:rsid w:val="005E7E84"/>
    <w:rsid w:val="005F2B55"/>
    <w:rsid w:val="005F2D94"/>
    <w:rsid w:val="005F3658"/>
    <w:rsid w:val="005F5C9E"/>
    <w:rsid w:val="005F65C0"/>
    <w:rsid w:val="00600507"/>
    <w:rsid w:val="00600E4B"/>
    <w:rsid w:val="00601320"/>
    <w:rsid w:val="00602125"/>
    <w:rsid w:val="00602455"/>
    <w:rsid w:val="00604EA3"/>
    <w:rsid w:val="00606931"/>
    <w:rsid w:val="0060752F"/>
    <w:rsid w:val="00607C3F"/>
    <w:rsid w:val="00611200"/>
    <w:rsid w:val="006119EC"/>
    <w:rsid w:val="00614153"/>
    <w:rsid w:val="00614D99"/>
    <w:rsid w:val="00615203"/>
    <w:rsid w:val="0061577F"/>
    <w:rsid w:val="006177EE"/>
    <w:rsid w:val="00620020"/>
    <w:rsid w:val="006200C3"/>
    <w:rsid w:val="00621A4A"/>
    <w:rsid w:val="00623B61"/>
    <w:rsid w:val="00624DA2"/>
    <w:rsid w:val="006250B9"/>
    <w:rsid w:val="006252B2"/>
    <w:rsid w:val="006273A3"/>
    <w:rsid w:val="00630F24"/>
    <w:rsid w:val="00631C1F"/>
    <w:rsid w:val="00632646"/>
    <w:rsid w:val="00633BC1"/>
    <w:rsid w:val="00635AAD"/>
    <w:rsid w:val="00636652"/>
    <w:rsid w:val="00637BA0"/>
    <w:rsid w:val="00640B58"/>
    <w:rsid w:val="00640C28"/>
    <w:rsid w:val="00645187"/>
    <w:rsid w:val="0064538C"/>
    <w:rsid w:val="00646154"/>
    <w:rsid w:val="00647289"/>
    <w:rsid w:val="00647BF7"/>
    <w:rsid w:val="006523A6"/>
    <w:rsid w:val="00652B7E"/>
    <w:rsid w:val="00654B2E"/>
    <w:rsid w:val="00654BE4"/>
    <w:rsid w:val="00654CC1"/>
    <w:rsid w:val="00654D2E"/>
    <w:rsid w:val="00654D9C"/>
    <w:rsid w:val="006559F7"/>
    <w:rsid w:val="00657331"/>
    <w:rsid w:val="006573C8"/>
    <w:rsid w:val="00657744"/>
    <w:rsid w:val="00657A98"/>
    <w:rsid w:val="00657C6C"/>
    <w:rsid w:val="00660389"/>
    <w:rsid w:val="00660721"/>
    <w:rsid w:val="00660E59"/>
    <w:rsid w:val="006612C3"/>
    <w:rsid w:val="0066280B"/>
    <w:rsid w:val="0066725A"/>
    <w:rsid w:val="006673AC"/>
    <w:rsid w:val="006703A5"/>
    <w:rsid w:val="006719C7"/>
    <w:rsid w:val="006721A6"/>
    <w:rsid w:val="00673C33"/>
    <w:rsid w:val="006745C6"/>
    <w:rsid w:val="006746AB"/>
    <w:rsid w:val="006755A9"/>
    <w:rsid w:val="00675BB6"/>
    <w:rsid w:val="00676836"/>
    <w:rsid w:val="00676F8F"/>
    <w:rsid w:val="006774F1"/>
    <w:rsid w:val="006776E5"/>
    <w:rsid w:val="006779C5"/>
    <w:rsid w:val="00677A64"/>
    <w:rsid w:val="00681207"/>
    <w:rsid w:val="00684820"/>
    <w:rsid w:val="006857CB"/>
    <w:rsid w:val="006876A4"/>
    <w:rsid w:val="006931A0"/>
    <w:rsid w:val="00693F34"/>
    <w:rsid w:val="006947A6"/>
    <w:rsid w:val="00697837"/>
    <w:rsid w:val="006A0312"/>
    <w:rsid w:val="006A0817"/>
    <w:rsid w:val="006A1FC3"/>
    <w:rsid w:val="006A564C"/>
    <w:rsid w:val="006A5733"/>
    <w:rsid w:val="006A662B"/>
    <w:rsid w:val="006A6813"/>
    <w:rsid w:val="006A7C10"/>
    <w:rsid w:val="006B0335"/>
    <w:rsid w:val="006B299E"/>
    <w:rsid w:val="006B32F7"/>
    <w:rsid w:val="006B364B"/>
    <w:rsid w:val="006B5662"/>
    <w:rsid w:val="006B651C"/>
    <w:rsid w:val="006B69F4"/>
    <w:rsid w:val="006B6CE5"/>
    <w:rsid w:val="006B774B"/>
    <w:rsid w:val="006C015A"/>
    <w:rsid w:val="006C0DDE"/>
    <w:rsid w:val="006C12F6"/>
    <w:rsid w:val="006C1C5C"/>
    <w:rsid w:val="006C4F2F"/>
    <w:rsid w:val="006C635E"/>
    <w:rsid w:val="006C6DF4"/>
    <w:rsid w:val="006C75C0"/>
    <w:rsid w:val="006C7F90"/>
    <w:rsid w:val="006D040A"/>
    <w:rsid w:val="006D0B60"/>
    <w:rsid w:val="006D2317"/>
    <w:rsid w:val="006D4332"/>
    <w:rsid w:val="006D57B3"/>
    <w:rsid w:val="006D6F69"/>
    <w:rsid w:val="006D7E35"/>
    <w:rsid w:val="006E1B29"/>
    <w:rsid w:val="006E2120"/>
    <w:rsid w:val="006E257E"/>
    <w:rsid w:val="006E2B05"/>
    <w:rsid w:val="006E2EC4"/>
    <w:rsid w:val="006E2EE0"/>
    <w:rsid w:val="006E302A"/>
    <w:rsid w:val="006E3E9A"/>
    <w:rsid w:val="006E5F09"/>
    <w:rsid w:val="006F0247"/>
    <w:rsid w:val="006F1338"/>
    <w:rsid w:val="006F1904"/>
    <w:rsid w:val="006F2D77"/>
    <w:rsid w:val="006F2FCE"/>
    <w:rsid w:val="006F30F6"/>
    <w:rsid w:val="006F3E8E"/>
    <w:rsid w:val="006F45C5"/>
    <w:rsid w:val="006F64E2"/>
    <w:rsid w:val="006F6624"/>
    <w:rsid w:val="006F76E5"/>
    <w:rsid w:val="006F7EF5"/>
    <w:rsid w:val="00701154"/>
    <w:rsid w:val="00701F0E"/>
    <w:rsid w:val="00704255"/>
    <w:rsid w:val="00704456"/>
    <w:rsid w:val="00705508"/>
    <w:rsid w:val="00705B83"/>
    <w:rsid w:val="00706163"/>
    <w:rsid w:val="00706324"/>
    <w:rsid w:val="007074D1"/>
    <w:rsid w:val="00707802"/>
    <w:rsid w:val="00707B48"/>
    <w:rsid w:val="00707F24"/>
    <w:rsid w:val="00710483"/>
    <w:rsid w:val="007108DB"/>
    <w:rsid w:val="007114F8"/>
    <w:rsid w:val="0071326B"/>
    <w:rsid w:val="00715082"/>
    <w:rsid w:val="00717C44"/>
    <w:rsid w:val="007203C9"/>
    <w:rsid w:val="007209D9"/>
    <w:rsid w:val="00722385"/>
    <w:rsid w:val="00722509"/>
    <w:rsid w:val="00722BB3"/>
    <w:rsid w:val="00724A2D"/>
    <w:rsid w:val="007256A3"/>
    <w:rsid w:val="00725B5B"/>
    <w:rsid w:val="00726839"/>
    <w:rsid w:val="00726DB7"/>
    <w:rsid w:val="007305EF"/>
    <w:rsid w:val="00731436"/>
    <w:rsid w:val="007318B7"/>
    <w:rsid w:val="00733308"/>
    <w:rsid w:val="00733BAB"/>
    <w:rsid w:val="00734619"/>
    <w:rsid w:val="00735629"/>
    <w:rsid w:val="00735991"/>
    <w:rsid w:val="00735CD4"/>
    <w:rsid w:val="00740668"/>
    <w:rsid w:val="00740ADF"/>
    <w:rsid w:val="0074187F"/>
    <w:rsid w:val="0074191A"/>
    <w:rsid w:val="00741AB5"/>
    <w:rsid w:val="00744132"/>
    <w:rsid w:val="00744BE9"/>
    <w:rsid w:val="007450E9"/>
    <w:rsid w:val="00745593"/>
    <w:rsid w:val="007466A3"/>
    <w:rsid w:val="00747D0E"/>
    <w:rsid w:val="0075024F"/>
    <w:rsid w:val="0075054C"/>
    <w:rsid w:val="00751E26"/>
    <w:rsid w:val="00753844"/>
    <w:rsid w:val="0075416A"/>
    <w:rsid w:val="007548BC"/>
    <w:rsid w:val="007550EC"/>
    <w:rsid w:val="00755451"/>
    <w:rsid w:val="00757B9D"/>
    <w:rsid w:val="007601D0"/>
    <w:rsid w:val="00761122"/>
    <w:rsid w:val="00761E56"/>
    <w:rsid w:val="007622DE"/>
    <w:rsid w:val="00762585"/>
    <w:rsid w:val="00762DEC"/>
    <w:rsid w:val="00764394"/>
    <w:rsid w:val="00764CE1"/>
    <w:rsid w:val="00765C18"/>
    <w:rsid w:val="00767307"/>
    <w:rsid w:val="00773E1E"/>
    <w:rsid w:val="00775C65"/>
    <w:rsid w:val="0077624A"/>
    <w:rsid w:val="007776F7"/>
    <w:rsid w:val="00777C56"/>
    <w:rsid w:val="007805E4"/>
    <w:rsid w:val="00782B0B"/>
    <w:rsid w:val="007841A0"/>
    <w:rsid w:val="0078546F"/>
    <w:rsid w:val="00787487"/>
    <w:rsid w:val="00791646"/>
    <w:rsid w:val="00791FAF"/>
    <w:rsid w:val="0079265D"/>
    <w:rsid w:val="00793CBC"/>
    <w:rsid w:val="00794AEC"/>
    <w:rsid w:val="00795D75"/>
    <w:rsid w:val="0079622C"/>
    <w:rsid w:val="007962B8"/>
    <w:rsid w:val="0079630F"/>
    <w:rsid w:val="00796ED1"/>
    <w:rsid w:val="00797CC2"/>
    <w:rsid w:val="00797E84"/>
    <w:rsid w:val="007A099F"/>
    <w:rsid w:val="007A190F"/>
    <w:rsid w:val="007A2007"/>
    <w:rsid w:val="007A20C3"/>
    <w:rsid w:val="007A3BE9"/>
    <w:rsid w:val="007A3EC6"/>
    <w:rsid w:val="007A565F"/>
    <w:rsid w:val="007A6B59"/>
    <w:rsid w:val="007A7AD9"/>
    <w:rsid w:val="007B0335"/>
    <w:rsid w:val="007B0B0E"/>
    <w:rsid w:val="007B0C3E"/>
    <w:rsid w:val="007B102A"/>
    <w:rsid w:val="007B1BDE"/>
    <w:rsid w:val="007B1FB0"/>
    <w:rsid w:val="007B21F2"/>
    <w:rsid w:val="007B294B"/>
    <w:rsid w:val="007B431B"/>
    <w:rsid w:val="007B47DB"/>
    <w:rsid w:val="007B4A88"/>
    <w:rsid w:val="007B54BF"/>
    <w:rsid w:val="007B7C52"/>
    <w:rsid w:val="007B7D1D"/>
    <w:rsid w:val="007C05D1"/>
    <w:rsid w:val="007C1808"/>
    <w:rsid w:val="007C2045"/>
    <w:rsid w:val="007C455B"/>
    <w:rsid w:val="007C4D59"/>
    <w:rsid w:val="007C51E4"/>
    <w:rsid w:val="007C53CB"/>
    <w:rsid w:val="007C71E1"/>
    <w:rsid w:val="007C7437"/>
    <w:rsid w:val="007C7855"/>
    <w:rsid w:val="007D1A0C"/>
    <w:rsid w:val="007D20CA"/>
    <w:rsid w:val="007D30C2"/>
    <w:rsid w:val="007D3A61"/>
    <w:rsid w:val="007D41E3"/>
    <w:rsid w:val="007D5020"/>
    <w:rsid w:val="007D5DA5"/>
    <w:rsid w:val="007D675D"/>
    <w:rsid w:val="007D67AD"/>
    <w:rsid w:val="007D74DC"/>
    <w:rsid w:val="007E0257"/>
    <w:rsid w:val="007E1C93"/>
    <w:rsid w:val="007E5DE0"/>
    <w:rsid w:val="007E6438"/>
    <w:rsid w:val="007E68B1"/>
    <w:rsid w:val="007E7701"/>
    <w:rsid w:val="007F1C51"/>
    <w:rsid w:val="007F27F5"/>
    <w:rsid w:val="007F3A70"/>
    <w:rsid w:val="007F41DB"/>
    <w:rsid w:val="007F4EA8"/>
    <w:rsid w:val="007F5071"/>
    <w:rsid w:val="007F5075"/>
    <w:rsid w:val="007F7197"/>
    <w:rsid w:val="0080110A"/>
    <w:rsid w:val="00803E9D"/>
    <w:rsid w:val="00804F7C"/>
    <w:rsid w:val="00805507"/>
    <w:rsid w:val="00805BEE"/>
    <w:rsid w:val="00806377"/>
    <w:rsid w:val="00807322"/>
    <w:rsid w:val="00810198"/>
    <w:rsid w:val="00810272"/>
    <w:rsid w:val="00811414"/>
    <w:rsid w:val="008118F0"/>
    <w:rsid w:val="008122DA"/>
    <w:rsid w:val="0081235A"/>
    <w:rsid w:val="00812F6E"/>
    <w:rsid w:val="00815D00"/>
    <w:rsid w:val="00816EEE"/>
    <w:rsid w:val="00817A46"/>
    <w:rsid w:val="00817F6F"/>
    <w:rsid w:val="008203D9"/>
    <w:rsid w:val="0082116F"/>
    <w:rsid w:val="00821D33"/>
    <w:rsid w:val="00822BB4"/>
    <w:rsid w:val="00824F34"/>
    <w:rsid w:val="008256F1"/>
    <w:rsid w:val="00826068"/>
    <w:rsid w:val="00832C85"/>
    <w:rsid w:val="00834778"/>
    <w:rsid w:val="00834B39"/>
    <w:rsid w:val="00834B3A"/>
    <w:rsid w:val="00835685"/>
    <w:rsid w:val="00836911"/>
    <w:rsid w:val="0084156F"/>
    <w:rsid w:val="00841735"/>
    <w:rsid w:val="00842DA4"/>
    <w:rsid w:val="008433DE"/>
    <w:rsid w:val="00843B84"/>
    <w:rsid w:val="00843C7C"/>
    <w:rsid w:val="0084718B"/>
    <w:rsid w:val="00850D89"/>
    <w:rsid w:val="008513ED"/>
    <w:rsid w:val="008526AB"/>
    <w:rsid w:val="008552A0"/>
    <w:rsid w:val="008553F0"/>
    <w:rsid w:val="008605EB"/>
    <w:rsid w:val="008612E2"/>
    <w:rsid w:val="00861837"/>
    <w:rsid w:val="008621C4"/>
    <w:rsid w:val="00862828"/>
    <w:rsid w:val="00862C48"/>
    <w:rsid w:val="00863077"/>
    <w:rsid w:val="00870842"/>
    <w:rsid w:val="008723A0"/>
    <w:rsid w:val="008724DC"/>
    <w:rsid w:val="00872818"/>
    <w:rsid w:val="00873048"/>
    <w:rsid w:val="008731C5"/>
    <w:rsid w:val="00873327"/>
    <w:rsid w:val="008735BF"/>
    <w:rsid w:val="00873D56"/>
    <w:rsid w:val="00874A74"/>
    <w:rsid w:val="00874C5B"/>
    <w:rsid w:val="00874DBC"/>
    <w:rsid w:val="00875431"/>
    <w:rsid w:val="008815E9"/>
    <w:rsid w:val="00881693"/>
    <w:rsid w:val="00881F64"/>
    <w:rsid w:val="00882AA0"/>
    <w:rsid w:val="00882DFE"/>
    <w:rsid w:val="00883768"/>
    <w:rsid w:val="00884785"/>
    <w:rsid w:val="00884DAB"/>
    <w:rsid w:val="0088616C"/>
    <w:rsid w:val="00890695"/>
    <w:rsid w:val="00891BA2"/>
    <w:rsid w:val="008937B1"/>
    <w:rsid w:val="00893852"/>
    <w:rsid w:val="008939EF"/>
    <w:rsid w:val="008A038D"/>
    <w:rsid w:val="008A0AED"/>
    <w:rsid w:val="008A150B"/>
    <w:rsid w:val="008A16E1"/>
    <w:rsid w:val="008A1841"/>
    <w:rsid w:val="008A2181"/>
    <w:rsid w:val="008A22AF"/>
    <w:rsid w:val="008A3DCF"/>
    <w:rsid w:val="008A3F0B"/>
    <w:rsid w:val="008A4A01"/>
    <w:rsid w:val="008A5F8D"/>
    <w:rsid w:val="008B0482"/>
    <w:rsid w:val="008B0B90"/>
    <w:rsid w:val="008B192A"/>
    <w:rsid w:val="008B48C4"/>
    <w:rsid w:val="008B4A38"/>
    <w:rsid w:val="008B4E92"/>
    <w:rsid w:val="008B52B9"/>
    <w:rsid w:val="008B5E8B"/>
    <w:rsid w:val="008B6473"/>
    <w:rsid w:val="008B7F2D"/>
    <w:rsid w:val="008B7F75"/>
    <w:rsid w:val="008C09AA"/>
    <w:rsid w:val="008C35C0"/>
    <w:rsid w:val="008C394C"/>
    <w:rsid w:val="008C69A6"/>
    <w:rsid w:val="008C6AB8"/>
    <w:rsid w:val="008C7650"/>
    <w:rsid w:val="008D0555"/>
    <w:rsid w:val="008D10BE"/>
    <w:rsid w:val="008D213D"/>
    <w:rsid w:val="008D2454"/>
    <w:rsid w:val="008D4EFD"/>
    <w:rsid w:val="008D5EDB"/>
    <w:rsid w:val="008D620B"/>
    <w:rsid w:val="008E04A5"/>
    <w:rsid w:val="008E080B"/>
    <w:rsid w:val="008E09C0"/>
    <w:rsid w:val="008E0D29"/>
    <w:rsid w:val="008E1882"/>
    <w:rsid w:val="008E2EB2"/>
    <w:rsid w:val="008E2FCB"/>
    <w:rsid w:val="008E4EEB"/>
    <w:rsid w:val="008E5025"/>
    <w:rsid w:val="008E508E"/>
    <w:rsid w:val="008E568E"/>
    <w:rsid w:val="008E73BC"/>
    <w:rsid w:val="008E7DF7"/>
    <w:rsid w:val="008E7E96"/>
    <w:rsid w:val="008F0B01"/>
    <w:rsid w:val="008F0F8D"/>
    <w:rsid w:val="008F2177"/>
    <w:rsid w:val="008F2CE8"/>
    <w:rsid w:val="008F2E02"/>
    <w:rsid w:val="008F36E4"/>
    <w:rsid w:val="008F3B9C"/>
    <w:rsid w:val="008F3F7F"/>
    <w:rsid w:val="008F52C9"/>
    <w:rsid w:val="008F5A58"/>
    <w:rsid w:val="008F64F3"/>
    <w:rsid w:val="00900342"/>
    <w:rsid w:val="00901A70"/>
    <w:rsid w:val="0090302B"/>
    <w:rsid w:val="00903348"/>
    <w:rsid w:val="00905921"/>
    <w:rsid w:val="009061DE"/>
    <w:rsid w:val="00907320"/>
    <w:rsid w:val="00910DB9"/>
    <w:rsid w:val="009110B2"/>
    <w:rsid w:val="00912335"/>
    <w:rsid w:val="0091468A"/>
    <w:rsid w:val="00914B9C"/>
    <w:rsid w:val="00916891"/>
    <w:rsid w:val="009168A4"/>
    <w:rsid w:val="0091755A"/>
    <w:rsid w:val="00917844"/>
    <w:rsid w:val="00917858"/>
    <w:rsid w:val="009212B6"/>
    <w:rsid w:val="00924789"/>
    <w:rsid w:val="009248FD"/>
    <w:rsid w:val="00924ADF"/>
    <w:rsid w:val="0092534E"/>
    <w:rsid w:val="00925C03"/>
    <w:rsid w:val="00927135"/>
    <w:rsid w:val="00927A30"/>
    <w:rsid w:val="00930C9D"/>
    <w:rsid w:val="00932C50"/>
    <w:rsid w:val="0093486D"/>
    <w:rsid w:val="00937B0D"/>
    <w:rsid w:val="0094080C"/>
    <w:rsid w:val="00941D4B"/>
    <w:rsid w:val="00942766"/>
    <w:rsid w:val="00942CCE"/>
    <w:rsid w:val="00950D9E"/>
    <w:rsid w:val="00951022"/>
    <w:rsid w:val="00952480"/>
    <w:rsid w:val="00953708"/>
    <w:rsid w:val="00953A6B"/>
    <w:rsid w:val="00954CE9"/>
    <w:rsid w:val="00955AB7"/>
    <w:rsid w:val="0095640F"/>
    <w:rsid w:val="009570EC"/>
    <w:rsid w:val="00961C45"/>
    <w:rsid w:val="00962332"/>
    <w:rsid w:val="0096261B"/>
    <w:rsid w:val="0096388F"/>
    <w:rsid w:val="0096493F"/>
    <w:rsid w:val="009649DE"/>
    <w:rsid w:val="0096542B"/>
    <w:rsid w:val="009659E3"/>
    <w:rsid w:val="00966E21"/>
    <w:rsid w:val="00970D05"/>
    <w:rsid w:val="00970D83"/>
    <w:rsid w:val="00971452"/>
    <w:rsid w:val="00972773"/>
    <w:rsid w:val="00972914"/>
    <w:rsid w:val="009743C5"/>
    <w:rsid w:val="0097485D"/>
    <w:rsid w:val="0097503B"/>
    <w:rsid w:val="00975879"/>
    <w:rsid w:val="00976149"/>
    <w:rsid w:val="00976CE5"/>
    <w:rsid w:val="0097781D"/>
    <w:rsid w:val="00982C2A"/>
    <w:rsid w:val="009833AA"/>
    <w:rsid w:val="0098493A"/>
    <w:rsid w:val="00986418"/>
    <w:rsid w:val="009865C8"/>
    <w:rsid w:val="00986860"/>
    <w:rsid w:val="00987C37"/>
    <w:rsid w:val="00990421"/>
    <w:rsid w:val="00990D54"/>
    <w:rsid w:val="00991543"/>
    <w:rsid w:val="0099290E"/>
    <w:rsid w:val="00993A37"/>
    <w:rsid w:val="00993B0C"/>
    <w:rsid w:val="009944DA"/>
    <w:rsid w:val="00995480"/>
    <w:rsid w:val="00995B14"/>
    <w:rsid w:val="00995BAC"/>
    <w:rsid w:val="009965DB"/>
    <w:rsid w:val="009971EE"/>
    <w:rsid w:val="0099771B"/>
    <w:rsid w:val="00997B4C"/>
    <w:rsid w:val="009A00C7"/>
    <w:rsid w:val="009A1651"/>
    <w:rsid w:val="009A33C0"/>
    <w:rsid w:val="009A3924"/>
    <w:rsid w:val="009A4E02"/>
    <w:rsid w:val="009A62A8"/>
    <w:rsid w:val="009A7571"/>
    <w:rsid w:val="009B0717"/>
    <w:rsid w:val="009B0BCE"/>
    <w:rsid w:val="009B0CAB"/>
    <w:rsid w:val="009B13C8"/>
    <w:rsid w:val="009B1A9F"/>
    <w:rsid w:val="009B2C37"/>
    <w:rsid w:val="009B3581"/>
    <w:rsid w:val="009B4064"/>
    <w:rsid w:val="009B600F"/>
    <w:rsid w:val="009B6D01"/>
    <w:rsid w:val="009C0593"/>
    <w:rsid w:val="009C21A2"/>
    <w:rsid w:val="009C2552"/>
    <w:rsid w:val="009C3464"/>
    <w:rsid w:val="009C4692"/>
    <w:rsid w:val="009C484B"/>
    <w:rsid w:val="009C540F"/>
    <w:rsid w:val="009C5575"/>
    <w:rsid w:val="009C5CC2"/>
    <w:rsid w:val="009C6F47"/>
    <w:rsid w:val="009D157F"/>
    <w:rsid w:val="009D1AA8"/>
    <w:rsid w:val="009D1E3A"/>
    <w:rsid w:val="009D2321"/>
    <w:rsid w:val="009D3658"/>
    <w:rsid w:val="009D41F1"/>
    <w:rsid w:val="009D5B63"/>
    <w:rsid w:val="009D6947"/>
    <w:rsid w:val="009D7087"/>
    <w:rsid w:val="009D79CB"/>
    <w:rsid w:val="009E0279"/>
    <w:rsid w:val="009E0474"/>
    <w:rsid w:val="009E2108"/>
    <w:rsid w:val="009E39E2"/>
    <w:rsid w:val="009E5441"/>
    <w:rsid w:val="009E56F7"/>
    <w:rsid w:val="009E6611"/>
    <w:rsid w:val="009E6A1C"/>
    <w:rsid w:val="009F1969"/>
    <w:rsid w:val="009F22D5"/>
    <w:rsid w:val="009F29F0"/>
    <w:rsid w:val="009F3575"/>
    <w:rsid w:val="009F3D9D"/>
    <w:rsid w:val="009F45F3"/>
    <w:rsid w:val="009F64AD"/>
    <w:rsid w:val="009F7A3F"/>
    <w:rsid w:val="009F7E89"/>
    <w:rsid w:val="00A001EF"/>
    <w:rsid w:val="00A00961"/>
    <w:rsid w:val="00A00CF3"/>
    <w:rsid w:val="00A02010"/>
    <w:rsid w:val="00A02338"/>
    <w:rsid w:val="00A035AC"/>
    <w:rsid w:val="00A04994"/>
    <w:rsid w:val="00A04C16"/>
    <w:rsid w:val="00A0581C"/>
    <w:rsid w:val="00A06BA7"/>
    <w:rsid w:val="00A0738C"/>
    <w:rsid w:val="00A073CB"/>
    <w:rsid w:val="00A075F1"/>
    <w:rsid w:val="00A124E5"/>
    <w:rsid w:val="00A12D01"/>
    <w:rsid w:val="00A13CFE"/>
    <w:rsid w:val="00A13EA2"/>
    <w:rsid w:val="00A143CF"/>
    <w:rsid w:val="00A146BF"/>
    <w:rsid w:val="00A15ED5"/>
    <w:rsid w:val="00A20220"/>
    <w:rsid w:val="00A2044B"/>
    <w:rsid w:val="00A21603"/>
    <w:rsid w:val="00A216D5"/>
    <w:rsid w:val="00A218EB"/>
    <w:rsid w:val="00A21C7C"/>
    <w:rsid w:val="00A22649"/>
    <w:rsid w:val="00A236B5"/>
    <w:rsid w:val="00A25898"/>
    <w:rsid w:val="00A25CCF"/>
    <w:rsid w:val="00A25F71"/>
    <w:rsid w:val="00A274A8"/>
    <w:rsid w:val="00A30EC1"/>
    <w:rsid w:val="00A31816"/>
    <w:rsid w:val="00A33943"/>
    <w:rsid w:val="00A34E2F"/>
    <w:rsid w:val="00A37E75"/>
    <w:rsid w:val="00A4056A"/>
    <w:rsid w:val="00A41BE9"/>
    <w:rsid w:val="00A42706"/>
    <w:rsid w:val="00A44B96"/>
    <w:rsid w:val="00A44E81"/>
    <w:rsid w:val="00A45E4D"/>
    <w:rsid w:val="00A46C6E"/>
    <w:rsid w:val="00A475F5"/>
    <w:rsid w:val="00A50EDE"/>
    <w:rsid w:val="00A53A5E"/>
    <w:rsid w:val="00A556DE"/>
    <w:rsid w:val="00A55ECC"/>
    <w:rsid w:val="00A565E4"/>
    <w:rsid w:val="00A56751"/>
    <w:rsid w:val="00A610B4"/>
    <w:rsid w:val="00A62992"/>
    <w:rsid w:val="00A64FE8"/>
    <w:rsid w:val="00A65103"/>
    <w:rsid w:val="00A6598F"/>
    <w:rsid w:val="00A6752F"/>
    <w:rsid w:val="00A67EF2"/>
    <w:rsid w:val="00A70289"/>
    <w:rsid w:val="00A70354"/>
    <w:rsid w:val="00A70A62"/>
    <w:rsid w:val="00A70D15"/>
    <w:rsid w:val="00A713CD"/>
    <w:rsid w:val="00A72481"/>
    <w:rsid w:val="00A72616"/>
    <w:rsid w:val="00A73223"/>
    <w:rsid w:val="00A73FC2"/>
    <w:rsid w:val="00A74C1D"/>
    <w:rsid w:val="00A75955"/>
    <w:rsid w:val="00A76B4F"/>
    <w:rsid w:val="00A76E40"/>
    <w:rsid w:val="00A77FE0"/>
    <w:rsid w:val="00A82766"/>
    <w:rsid w:val="00A83EE9"/>
    <w:rsid w:val="00A845BB"/>
    <w:rsid w:val="00A85520"/>
    <w:rsid w:val="00A90349"/>
    <w:rsid w:val="00A92F39"/>
    <w:rsid w:val="00A94EED"/>
    <w:rsid w:val="00A9547C"/>
    <w:rsid w:val="00A95B25"/>
    <w:rsid w:val="00A95E97"/>
    <w:rsid w:val="00A9604B"/>
    <w:rsid w:val="00A97246"/>
    <w:rsid w:val="00AA09B3"/>
    <w:rsid w:val="00AA0DF1"/>
    <w:rsid w:val="00AA112F"/>
    <w:rsid w:val="00AA16EC"/>
    <w:rsid w:val="00AA1749"/>
    <w:rsid w:val="00AA1E12"/>
    <w:rsid w:val="00AA1F13"/>
    <w:rsid w:val="00AA3BAF"/>
    <w:rsid w:val="00AA3F3E"/>
    <w:rsid w:val="00AA6521"/>
    <w:rsid w:val="00AA7C26"/>
    <w:rsid w:val="00AA7E39"/>
    <w:rsid w:val="00AB03AE"/>
    <w:rsid w:val="00AB0626"/>
    <w:rsid w:val="00AB06F9"/>
    <w:rsid w:val="00AB4AAD"/>
    <w:rsid w:val="00AB4D33"/>
    <w:rsid w:val="00AB50EF"/>
    <w:rsid w:val="00AB5120"/>
    <w:rsid w:val="00AB57D8"/>
    <w:rsid w:val="00AB5AFD"/>
    <w:rsid w:val="00AB5D7A"/>
    <w:rsid w:val="00AB60DA"/>
    <w:rsid w:val="00AB6762"/>
    <w:rsid w:val="00AB77C8"/>
    <w:rsid w:val="00AB7929"/>
    <w:rsid w:val="00AC08FD"/>
    <w:rsid w:val="00AC349D"/>
    <w:rsid w:val="00AC46BE"/>
    <w:rsid w:val="00AC4EAF"/>
    <w:rsid w:val="00AC5852"/>
    <w:rsid w:val="00AC600B"/>
    <w:rsid w:val="00AC60E8"/>
    <w:rsid w:val="00AC68C2"/>
    <w:rsid w:val="00AC7393"/>
    <w:rsid w:val="00AD1092"/>
    <w:rsid w:val="00AD18B3"/>
    <w:rsid w:val="00AD4E39"/>
    <w:rsid w:val="00AE01C0"/>
    <w:rsid w:val="00AE0836"/>
    <w:rsid w:val="00AE143E"/>
    <w:rsid w:val="00AE1BE7"/>
    <w:rsid w:val="00AF0BA4"/>
    <w:rsid w:val="00AF1292"/>
    <w:rsid w:val="00AF1C91"/>
    <w:rsid w:val="00AF27CE"/>
    <w:rsid w:val="00AF369E"/>
    <w:rsid w:val="00AF38CA"/>
    <w:rsid w:val="00AF55D7"/>
    <w:rsid w:val="00AF64F4"/>
    <w:rsid w:val="00AF6559"/>
    <w:rsid w:val="00AF6761"/>
    <w:rsid w:val="00AF6836"/>
    <w:rsid w:val="00AF6D47"/>
    <w:rsid w:val="00B0168F"/>
    <w:rsid w:val="00B018E4"/>
    <w:rsid w:val="00B02B6F"/>
    <w:rsid w:val="00B0371B"/>
    <w:rsid w:val="00B03BC2"/>
    <w:rsid w:val="00B03BFC"/>
    <w:rsid w:val="00B04165"/>
    <w:rsid w:val="00B060B5"/>
    <w:rsid w:val="00B063D6"/>
    <w:rsid w:val="00B07DD5"/>
    <w:rsid w:val="00B1030B"/>
    <w:rsid w:val="00B1273F"/>
    <w:rsid w:val="00B1297D"/>
    <w:rsid w:val="00B14B90"/>
    <w:rsid w:val="00B20188"/>
    <w:rsid w:val="00B20380"/>
    <w:rsid w:val="00B215B3"/>
    <w:rsid w:val="00B23560"/>
    <w:rsid w:val="00B2402A"/>
    <w:rsid w:val="00B25110"/>
    <w:rsid w:val="00B255ED"/>
    <w:rsid w:val="00B26627"/>
    <w:rsid w:val="00B2680B"/>
    <w:rsid w:val="00B26BED"/>
    <w:rsid w:val="00B26F16"/>
    <w:rsid w:val="00B26FB0"/>
    <w:rsid w:val="00B272BF"/>
    <w:rsid w:val="00B27661"/>
    <w:rsid w:val="00B27919"/>
    <w:rsid w:val="00B27B84"/>
    <w:rsid w:val="00B27FAA"/>
    <w:rsid w:val="00B30185"/>
    <w:rsid w:val="00B3027F"/>
    <w:rsid w:val="00B30F0A"/>
    <w:rsid w:val="00B31326"/>
    <w:rsid w:val="00B31C4E"/>
    <w:rsid w:val="00B32FB7"/>
    <w:rsid w:val="00B3311D"/>
    <w:rsid w:val="00B33134"/>
    <w:rsid w:val="00B33516"/>
    <w:rsid w:val="00B345AF"/>
    <w:rsid w:val="00B354E2"/>
    <w:rsid w:val="00B365BF"/>
    <w:rsid w:val="00B37176"/>
    <w:rsid w:val="00B40759"/>
    <w:rsid w:val="00B42488"/>
    <w:rsid w:val="00B4293F"/>
    <w:rsid w:val="00B42FBB"/>
    <w:rsid w:val="00B437BE"/>
    <w:rsid w:val="00B44256"/>
    <w:rsid w:val="00B448A8"/>
    <w:rsid w:val="00B46CCA"/>
    <w:rsid w:val="00B46FB1"/>
    <w:rsid w:val="00B473F9"/>
    <w:rsid w:val="00B52116"/>
    <w:rsid w:val="00B52337"/>
    <w:rsid w:val="00B53B0F"/>
    <w:rsid w:val="00B5487F"/>
    <w:rsid w:val="00B55490"/>
    <w:rsid w:val="00B607A5"/>
    <w:rsid w:val="00B624E7"/>
    <w:rsid w:val="00B626FA"/>
    <w:rsid w:val="00B64090"/>
    <w:rsid w:val="00B6486E"/>
    <w:rsid w:val="00B64D7D"/>
    <w:rsid w:val="00B64DBC"/>
    <w:rsid w:val="00B65C64"/>
    <w:rsid w:val="00B6758A"/>
    <w:rsid w:val="00B70BA0"/>
    <w:rsid w:val="00B72246"/>
    <w:rsid w:val="00B736C5"/>
    <w:rsid w:val="00B742D5"/>
    <w:rsid w:val="00B75CA1"/>
    <w:rsid w:val="00B76417"/>
    <w:rsid w:val="00B819D9"/>
    <w:rsid w:val="00B839BC"/>
    <w:rsid w:val="00B8528D"/>
    <w:rsid w:val="00B85630"/>
    <w:rsid w:val="00B8615C"/>
    <w:rsid w:val="00B8725A"/>
    <w:rsid w:val="00B90326"/>
    <w:rsid w:val="00B90F48"/>
    <w:rsid w:val="00B91DBD"/>
    <w:rsid w:val="00B92D52"/>
    <w:rsid w:val="00B96567"/>
    <w:rsid w:val="00B96C23"/>
    <w:rsid w:val="00B96E21"/>
    <w:rsid w:val="00B97781"/>
    <w:rsid w:val="00BA024D"/>
    <w:rsid w:val="00BA0DD3"/>
    <w:rsid w:val="00BA20C8"/>
    <w:rsid w:val="00BA3264"/>
    <w:rsid w:val="00BA5069"/>
    <w:rsid w:val="00BA66CB"/>
    <w:rsid w:val="00BA6E52"/>
    <w:rsid w:val="00BA7C8B"/>
    <w:rsid w:val="00BB016D"/>
    <w:rsid w:val="00BB0270"/>
    <w:rsid w:val="00BB07D8"/>
    <w:rsid w:val="00BB16F5"/>
    <w:rsid w:val="00BB5483"/>
    <w:rsid w:val="00BB5776"/>
    <w:rsid w:val="00BC34F5"/>
    <w:rsid w:val="00BC5F2A"/>
    <w:rsid w:val="00BC64C1"/>
    <w:rsid w:val="00BD01C8"/>
    <w:rsid w:val="00BD0334"/>
    <w:rsid w:val="00BD07BA"/>
    <w:rsid w:val="00BD22AB"/>
    <w:rsid w:val="00BD260C"/>
    <w:rsid w:val="00BD41D0"/>
    <w:rsid w:val="00BD441D"/>
    <w:rsid w:val="00BD56C9"/>
    <w:rsid w:val="00BD7E13"/>
    <w:rsid w:val="00BD7E19"/>
    <w:rsid w:val="00BE05FC"/>
    <w:rsid w:val="00BE0F38"/>
    <w:rsid w:val="00BE45CC"/>
    <w:rsid w:val="00BE4AAD"/>
    <w:rsid w:val="00BE5F6B"/>
    <w:rsid w:val="00BE60A2"/>
    <w:rsid w:val="00BE61C1"/>
    <w:rsid w:val="00BE66E7"/>
    <w:rsid w:val="00BE677F"/>
    <w:rsid w:val="00BE7466"/>
    <w:rsid w:val="00BF1290"/>
    <w:rsid w:val="00BF23CE"/>
    <w:rsid w:val="00BF3495"/>
    <w:rsid w:val="00BF439F"/>
    <w:rsid w:val="00BF581E"/>
    <w:rsid w:val="00C004F6"/>
    <w:rsid w:val="00C00A81"/>
    <w:rsid w:val="00C00C74"/>
    <w:rsid w:val="00C01A4B"/>
    <w:rsid w:val="00C02553"/>
    <w:rsid w:val="00C0322D"/>
    <w:rsid w:val="00C03D2E"/>
    <w:rsid w:val="00C04B57"/>
    <w:rsid w:val="00C0614E"/>
    <w:rsid w:val="00C07861"/>
    <w:rsid w:val="00C10267"/>
    <w:rsid w:val="00C10ACF"/>
    <w:rsid w:val="00C12D42"/>
    <w:rsid w:val="00C12EEF"/>
    <w:rsid w:val="00C13D04"/>
    <w:rsid w:val="00C15185"/>
    <w:rsid w:val="00C158A1"/>
    <w:rsid w:val="00C20BCE"/>
    <w:rsid w:val="00C20E79"/>
    <w:rsid w:val="00C2177A"/>
    <w:rsid w:val="00C2202C"/>
    <w:rsid w:val="00C22E8D"/>
    <w:rsid w:val="00C23B9A"/>
    <w:rsid w:val="00C24C2F"/>
    <w:rsid w:val="00C25B6E"/>
    <w:rsid w:val="00C25E56"/>
    <w:rsid w:val="00C26813"/>
    <w:rsid w:val="00C2795B"/>
    <w:rsid w:val="00C27DED"/>
    <w:rsid w:val="00C3057C"/>
    <w:rsid w:val="00C32540"/>
    <w:rsid w:val="00C32A42"/>
    <w:rsid w:val="00C32AF6"/>
    <w:rsid w:val="00C32DA0"/>
    <w:rsid w:val="00C332C4"/>
    <w:rsid w:val="00C333D7"/>
    <w:rsid w:val="00C336ED"/>
    <w:rsid w:val="00C34108"/>
    <w:rsid w:val="00C35DAC"/>
    <w:rsid w:val="00C36DA1"/>
    <w:rsid w:val="00C41158"/>
    <w:rsid w:val="00C415AB"/>
    <w:rsid w:val="00C425B7"/>
    <w:rsid w:val="00C42772"/>
    <w:rsid w:val="00C42E25"/>
    <w:rsid w:val="00C4360D"/>
    <w:rsid w:val="00C43ACC"/>
    <w:rsid w:val="00C44419"/>
    <w:rsid w:val="00C4457F"/>
    <w:rsid w:val="00C44812"/>
    <w:rsid w:val="00C46B71"/>
    <w:rsid w:val="00C5099E"/>
    <w:rsid w:val="00C521BB"/>
    <w:rsid w:val="00C522ED"/>
    <w:rsid w:val="00C52374"/>
    <w:rsid w:val="00C52926"/>
    <w:rsid w:val="00C52B24"/>
    <w:rsid w:val="00C52FA3"/>
    <w:rsid w:val="00C5474D"/>
    <w:rsid w:val="00C5532F"/>
    <w:rsid w:val="00C55ADA"/>
    <w:rsid w:val="00C566C0"/>
    <w:rsid w:val="00C57578"/>
    <w:rsid w:val="00C6010E"/>
    <w:rsid w:val="00C60E23"/>
    <w:rsid w:val="00C61AA5"/>
    <w:rsid w:val="00C6411A"/>
    <w:rsid w:val="00C64FB9"/>
    <w:rsid w:val="00C65193"/>
    <w:rsid w:val="00C669C1"/>
    <w:rsid w:val="00C70E1A"/>
    <w:rsid w:val="00C72037"/>
    <w:rsid w:val="00C72FD1"/>
    <w:rsid w:val="00C7350B"/>
    <w:rsid w:val="00C74A88"/>
    <w:rsid w:val="00C75C6A"/>
    <w:rsid w:val="00C763D2"/>
    <w:rsid w:val="00C77018"/>
    <w:rsid w:val="00C7792A"/>
    <w:rsid w:val="00C8044D"/>
    <w:rsid w:val="00C80691"/>
    <w:rsid w:val="00C80EF1"/>
    <w:rsid w:val="00C819A7"/>
    <w:rsid w:val="00C83EDB"/>
    <w:rsid w:val="00C843E0"/>
    <w:rsid w:val="00C846A7"/>
    <w:rsid w:val="00C852AB"/>
    <w:rsid w:val="00C8569F"/>
    <w:rsid w:val="00C86765"/>
    <w:rsid w:val="00C914FF"/>
    <w:rsid w:val="00C9195B"/>
    <w:rsid w:val="00C92272"/>
    <w:rsid w:val="00C92B2C"/>
    <w:rsid w:val="00C9379C"/>
    <w:rsid w:val="00C95103"/>
    <w:rsid w:val="00C952E4"/>
    <w:rsid w:val="00C961D3"/>
    <w:rsid w:val="00C96676"/>
    <w:rsid w:val="00CA0514"/>
    <w:rsid w:val="00CA125D"/>
    <w:rsid w:val="00CA1411"/>
    <w:rsid w:val="00CA15A7"/>
    <w:rsid w:val="00CA1962"/>
    <w:rsid w:val="00CA603B"/>
    <w:rsid w:val="00CA62FD"/>
    <w:rsid w:val="00CA6B51"/>
    <w:rsid w:val="00CA6F8D"/>
    <w:rsid w:val="00CA7001"/>
    <w:rsid w:val="00CB033C"/>
    <w:rsid w:val="00CB0A6F"/>
    <w:rsid w:val="00CB13E7"/>
    <w:rsid w:val="00CB1A1E"/>
    <w:rsid w:val="00CB2857"/>
    <w:rsid w:val="00CB3113"/>
    <w:rsid w:val="00CB348C"/>
    <w:rsid w:val="00CB3656"/>
    <w:rsid w:val="00CB3A0A"/>
    <w:rsid w:val="00CB437E"/>
    <w:rsid w:val="00CB6A50"/>
    <w:rsid w:val="00CB736C"/>
    <w:rsid w:val="00CB7B0D"/>
    <w:rsid w:val="00CC151D"/>
    <w:rsid w:val="00CC1E32"/>
    <w:rsid w:val="00CC49E5"/>
    <w:rsid w:val="00CC541A"/>
    <w:rsid w:val="00CC5987"/>
    <w:rsid w:val="00CC6D5C"/>
    <w:rsid w:val="00CD056C"/>
    <w:rsid w:val="00CD07AE"/>
    <w:rsid w:val="00CD11D6"/>
    <w:rsid w:val="00CD27BD"/>
    <w:rsid w:val="00CD2C1D"/>
    <w:rsid w:val="00CD44CE"/>
    <w:rsid w:val="00CD6869"/>
    <w:rsid w:val="00CD7074"/>
    <w:rsid w:val="00CD7DEC"/>
    <w:rsid w:val="00CE0182"/>
    <w:rsid w:val="00CE1706"/>
    <w:rsid w:val="00CE1818"/>
    <w:rsid w:val="00CE2155"/>
    <w:rsid w:val="00CE48FF"/>
    <w:rsid w:val="00CE4B7F"/>
    <w:rsid w:val="00CF19F3"/>
    <w:rsid w:val="00CF2747"/>
    <w:rsid w:val="00CF28BA"/>
    <w:rsid w:val="00CF368E"/>
    <w:rsid w:val="00CF5514"/>
    <w:rsid w:val="00D00367"/>
    <w:rsid w:val="00D00F1C"/>
    <w:rsid w:val="00D02DE5"/>
    <w:rsid w:val="00D043F5"/>
    <w:rsid w:val="00D0554A"/>
    <w:rsid w:val="00D060D9"/>
    <w:rsid w:val="00D06384"/>
    <w:rsid w:val="00D06398"/>
    <w:rsid w:val="00D07B9B"/>
    <w:rsid w:val="00D109F6"/>
    <w:rsid w:val="00D11C9F"/>
    <w:rsid w:val="00D12BC9"/>
    <w:rsid w:val="00D17262"/>
    <w:rsid w:val="00D17292"/>
    <w:rsid w:val="00D206D6"/>
    <w:rsid w:val="00D20D8E"/>
    <w:rsid w:val="00D21E17"/>
    <w:rsid w:val="00D22088"/>
    <w:rsid w:val="00D22EF6"/>
    <w:rsid w:val="00D23413"/>
    <w:rsid w:val="00D23BCE"/>
    <w:rsid w:val="00D24232"/>
    <w:rsid w:val="00D24CA7"/>
    <w:rsid w:val="00D25333"/>
    <w:rsid w:val="00D2537E"/>
    <w:rsid w:val="00D25661"/>
    <w:rsid w:val="00D26174"/>
    <w:rsid w:val="00D2697A"/>
    <w:rsid w:val="00D27D87"/>
    <w:rsid w:val="00D302F5"/>
    <w:rsid w:val="00D31126"/>
    <w:rsid w:val="00D321D5"/>
    <w:rsid w:val="00D32593"/>
    <w:rsid w:val="00D33359"/>
    <w:rsid w:val="00D336E3"/>
    <w:rsid w:val="00D33FE7"/>
    <w:rsid w:val="00D347D8"/>
    <w:rsid w:val="00D36D63"/>
    <w:rsid w:val="00D36DAE"/>
    <w:rsid w:val="00D37405"/>
    <w:rsid w:val="00D4381A"/>
    <w:rsid w:val="00D43D93"/>
    <w:rsid w:val="00D44478"/>
    <w:rsid w:val="00D4686C"/>
    <w:rsid w:val="00D468FA"/>
    <w:rsid w:val="00D46EA3"/>
    <w:rsid w:val="00D46EA5"/>
    <w:rsid w:val="00D47FC9"/>
    <w:rsid w:val="00D509F1"/>
    <w:rsid w:val="00D50BF4"/>
    <w:rsid w:val="00D5110F"/>
    <w:rsid w:val="00D51223"/>
    <w:rsid w:val="00D517E9"/>
    <w:rsid w:val="00D52B87"/>
    <w:rsid w:val="00D53511"/>
    <w:rsid w:val="00D53C46"/>
    <w:rsid w:val="00D54F4D"/>
    <w:rsid w:val="00D57180"/>
    <w:rsid w:val="00D5777A"/>
    <w:rsid w:val="00D60928"/>
    <w:rsid w:val="00D60BF3"/>
    <w:rsid w:val="00D62331"/>
    <w:rsid w:val="00D62B17"/>
    <w:rsid w:val="00D63914"/>
    <w:rsid w:val="00D639F3"/>
    <w:rsid w:val="00D63FE1"/>
    <w:rsid w:val="00D642C7"/>
    <w:rsid w:val="00D6606B"/>
    <w:rsid w:val="00D673D0"/>
    <w:rsid w:val="00D70088"/>
    <w:rsid w:val="00D7096F"/>
    <w:rsid w:val="00D70D58"/>
    <w:rsid w:val="00D71274"/>
    <w:rsid w:val="00D71F35"/>
    <w:rsid w:val="00D7271C"/>
    <w:rsid w:val="00D74242"/>
    <w:rsid w:val="00D752CA"/>
    <w:rsid w:val="00D76B40"/>
    <w:rsid w:val="00D7790E"/>
    <w:rsid w:val="00D803BC"/>
    <w:rsid w:val="00D80D50"/>
    <w:rsid w:val="00D80F75"/>
    <w:rsid w:val="00D81E80"/>
    <w:rsid w:val="00D83110"/>
    <w:rsid w:val="00D84F12"/>
    <w:rsid w:val="00D85C45"/>
    <w:rsid w:val="00D86099"/>
    <w:rsid w:val="00D87B3A"/>
    <w:rsid w:val="00D90B71"/>
    <w:rsid w:val="00D9323F"/>
    <w:rsid w:val="00D934D4"/>
    <w:rsid w:val="00D936CB"/>
    <w:rsid w:val="00D93843"/>
    <w:rsid w:val="00D93B22"/>
    <w:rsid w:val="00D9618B"/>
    <w:rsid w:val="00D9726A"/>
    <w:rsid w:val="00D977CF"/>
    <w:rsid w:val="00DA1328"/>
    <w:rsid w:val="00DA17DA"/>
    <w:rsid w:val="00DA1C26"/>
    <w:rsid w:val="00DA2020"/>
    <w:rsid w:val="00DA2A16"/>
    <w:rsid w:val="00DA32BF"/>
    <w:rsid w:val="00DA483E"/>
    <w:rsid w:val="00DA4BDD"/>
    <w:rsid w:val="00DA56AE"/>
    <w:rsid w:val="00DA67A9"/>
    <w:rsid w:val="00DA6AF3"/>
    <w:rsid w:val="00DB10D7"/>
    <w:rsid w:val="00DB20DE"/>
    <w:rsid w:val="00DB2532"/>
    <w:rsid w:val="00DB2E88"/>
    <w:rsid w:val="00DB30C1"/>
    <w:rsid w:val="00DB3269"/>
    <w:rsid w:val="00DB4396"/>
    <w:rsid w:val="00DB562E"/>
    <w:rsid w:val="00DB6BDD"/>
    <w:rsid w:val="00DB6F67"/>
    <w:rsid w:val="00DB799E"/>
    <w:rsid w:val="00DB7F4C"/>
    <w:rsid w:val="00DC0252"/>
    <w:rsid w:val="00DC056F"/>
    <w:rsid w:val="00DC0A9D"/>
    <w:rsid w:val="00DC0E01"/>
    <w:rsid w:val="00DC11AD"/>
    <w:rsid w:val="00DC1D03"/>
    <w:rsid w:val="00DC2564"/>
    <w:rsid w:val="00DC3F37"/>
    <w:rsid w:val="00DC4686"/>
    <w:rsid w:val="00DC5377"/>
    <w:rsid w:val="00DC586B"/>
    <w:rsid w:val="00DC69A9"/>
    <w:rsid w:val="00DC7C5D"/>
    <w:rsid w:val="00DD1075"/>
    <w:rsid w:val="00DD20BE"/>
    <w:rsid w:val="00DD35BB"/>
    <w:rsid w:val="00DD4E8A"/>
    <w:rsid w:val="00DD5665"/>
    <w:rsid w:val="00DD5DCA"/>
    <w:rsid w:val="00DD5E48"/>
    <w:rsid w:val="00DD641B"/>
    <w:rsid w:val="00DD65FC"/>
    <w:rsid w:val="00DD6963"/>
    <w:rsid w:val="00DD6A77"/>
    <w:rsid w:val="00DD6D19"/>
    <w:rsid w:val="00DD6F61"/>
    <w:rsid w:val="00DD6FB0"/>
    <w:rsid w:val="00DE0C62"/>
    <w:rsid w:val="00DE0D2C"/>
    <w:rsid w:val="00DE1925"/>
    <w:rsid w:val="00DE253D"/>
    <w:rsid w:val="00DE2A75"/>
    <w:rsid w:val="00DE2F9E"/>
    <w:rsid w:val="00DE58AD"/>
    <w:rsid w:val="00DE7497"/>
    <w:rsid w:val="00DE7A35"/>
    <w:rsid w:val="00DF0D6E"/>
    <w:rsid w:val="00DF1CA7"/>
    <w:rsid w:val="00DF2553"/>
    <w:rsid w:val="00DF361D"/>
    <w:rsid w:val="00DF3806"/>
    <w:rsid w:val="00DF4DCD"/>
    <w:rsid w:val="00DF699D"/>
    <w:rsid w:val="00DF7AD6"/>
    <w:rsid w:val="00E0019E"/>
    <w:rsid w:val="00E00C4D"/>
    <w:rsid w:val="00E00F5F"/>
    <w:rsid w:val="00E011D0"/>
    <w:rsid w:val="00E02376"/>
    <w:rsid w:val="00E03DD3"/>
    <w:rsid w:val="00E04823"/>
    <w:rsid w:val="00E0575E"/>
    <w:rsid w:val="00E065E2"/>
    <w:rsid w:val="00E10AD7"/>
    <w:rsid w:val="00E1245E"/>
    <w:rsid w:val="00E12E65"/>
    <w:rsid w:val="00E1385F"/>
    <w:rsid w:val="00E14251"/>
    <w:rsid w:val="00E14D1F"/>
    <w:rsid w:val="00E16C59"/>
    <w:rsid w:val="00E170D2"/>
    <w:rsid w:val="00E172A4"/>
    <w:rsid w:val="00E17995"/>
    <w:rsid w:val="00E21032"/>
    <w:rsid w:val="00E210E3"/>
    <w:rsid w:val="00E223D4"/>
    <w:rsid w:val="00E227AA"/>
    <w:rsid w:val="00E22CC6"/>
    <w:rsid w:val="00E22E32"/>
    <w:rsid w:val="00E251D3"/>
    <w:rsid w:val="00E2599C"/>
    <w:rsid w:val="00E25BAC"/>
    <w:rsid w:val="00E25D80"/>
    <w:rsid w:val="00E26F6E"/>
    <w:rsid w:val="00E27531"/>
    <w:rsid w:val="00E30CF7"/>
    <w:rsid w:val="00E32B5F"/>
    <w:rsid w:val="00E333ED"/>
    <w:rsid w:val="00E33904"/>
    <w:rsid w:val="00E3453A"/>
    <w:rsid w:val="00E3488D"/>
    <w:rsid w:val="00E35FB6"/>
    <w:rsid w:val="00E367A0"/>
    <w:rsid w:val="00E43677"/>
    <w:rsid w:val="00E43F10"/>
    <w:rsid w:val="00E44658"/>
    <w:rsid w:val="00E45BFE"/>
    <w:rsid w:val="00E45E3F"/>
    <w:rsid w:val="00E461D5"/>
    <w:rsid w:val="00E466F3"/>
    <w:rsid w:val="00E46E39"/>
    <w:rsid w:val="00E470F6"/>
    <w:rsid w:val="00E479A6"/>
    <w:rsid w:val="00E51357"/>
    <w:rsid w:val="00E532B5"/>
    <w:rsid w:val="00E53DDF"/>
    <w:rsid w:val="00E55064"/>
    <w:rsid w:val="00E5518A"/>
    <w:rsid w:val="00E57434"/>
    <w:rsid w:val="00E60039"/>
    <w:rsid w:val="00E6100D"/>
    <w:rsid w:val="00E61673"/>
    <w:rsid w:val="00E6196C"/>
    <w:rsid w:val="00E644EE"/>
    <w:rsid w:val="00E6502C"/>
    <w:rsid w:val="00E6758A"/>
    <w:rsid w:val="00E70478"/>
    <w:rsid w:val="00E7481F"/>
    <w:rsid w:val="00E74D20"/>
    <w:rsid w:val="00E77A4C"/>
    <w:rsid w:val="00E77A96"/>
    <w:rsid w:val="00E77C56"/>
    <w:rsid w:val="00E80B2D"/>
    <w:rsid w:val="00E821A3"/>
    <w:rsid w:val="00E83660"/>
    <w:rsid w:val="00E83FC1"/>
    <w:rsid w:val="00E84148"/>
    <w:rsid w:val="00E8420F"/>
    <w:rsid w:val="00E84694"/>
    <w:rsid w:val="00E8599E"/>
    <w:rsid w:val="00E86506"/>
    <w:rsid w:val="00E86DF3"/>
    <w:rsid w:val="00E878F8"/>
    <w:rsid w:val="00E9078C"/>
    <w:rsid w:val="00E9096F"/>
    <w:rsid w:val="00E93352"/>
    <w:rsid w:val="00E9356F"/>
    <w:rsid w:val="00E93AB2"/>
    <w:rsid w:val="00E93AD4"/>
    <w:rsid w:val="00E9596D"/>
    <w:rsid w:val="00E9598E"/>
    <w:rsid w:val="00E96159"/>
    <w:rsid w:val="00EA10BF"/>
    <w:rsid w:val="00EA1B2C"/>
    <w:rsid w:val="00EA2105"/>
    <w:rsid w:val="00EA25EE"/>
    <w:rsid w:val="00EA277E"/>
    <w:rsid w:val="00EA5171"/>
    <w:rsid w:val="00EA5EE6"/>
    <w:rsid w:val="00EA63F2"/>
    <w:rsid w:val="00EB1AD5"/>
    <w:rsid w:val="00EB44F7"/>
    <w:rsid w:val="00EB47A3"/>
    <w:rsid w:val="00EB5317"/>
    <w:rsid w:val="00EB696D"/>
    <w:rsid w:val="00EB7468"/>
    <w:rsid w:val="00EB77DA"/>
    <w:rsid w:val="00EC03F9"/>
    <w:rsid w:val="00EC0D3E"/>
    <w:rsid w:val="00EC15AD"/>
    <w:rsid w:val="00EC1C2A"/>
    <w:rsid w:val="00EC2EC0"/>
    <w:rsid w:val="00EC445D"/>
    <w:rsid w:val="00EC47A3"/>
    <w:rsid w:val="00EC5D38"/>
    <w:rsid w:val="00ED02F7"/>
    <w:rsid w:val="00ED1070"/>
    <w:rsid w:val="00ED2F6E"/>
    <w:rsid w:val="00ED3058"/>
    <w:rsid w:val="00ED48F0"/>
    <w:rsid w:val="00ED5E33"/>
    <w:rsid w:val="00ED5E61"/>
    <w:rsid w:val="00EE08C5"/>
    <w:rsid w:val="00EE3788"/>
    <w:rsid w:val="00EE451F"/>
    <w:rsid w:val="00EE4756"/>
    <w:rsid w:val="00EE4835"/>
    <w:rsid w:val="00EE4C2F"/>
    <w:rsid w:val="00EE4D0D"/>
    <w:rsid w:val="00EE6991"/>
    <w:rsid w:val="00EE7D68"/>
    <w:rsid w:val="00EF045C"/>
    <w:rsid w:val="00EF11A4"/>
    <w:rsid w:val="00EF25E1"/>
    <w:rsid w:val="00EF2691"/>
    <w:rsid w:val="00EF28DE"/>
    <w:rsid w:val="00EF2D0C"/>
    <w:rsid w:val="00EF45ED"/>
    <w:rsid w:val="00EF587C"/>
    <w:rsid w:val="00EF637B"/>
    <w:rsid w:val="00EF6CCC"/>
    <w:rsid w:val="00EF6FF6"/>
    <w:rsid w:val="00EF7DCE"/>
    <w:rsid w:val="00F014DC"/>
    <w:rsid w:val="00F01845"/>
    <w:rsid w:val="00F02B60"/>
    <w:rsid w:val="00F033EB"/>
    <w:rsid w:val="00F034D6"/>
    <w:rsid w:val="00F047AD"/>
    <w:rsid w:val="00F047EF"/>
    <w:rsid w:val="00F05403"/>
    <w:rsid w:val="00F07ECA"/>
    <w:rsid w:val="00F105D4"/>
    <w:rsid w:val="00F1174A"/>
    <w:rsid w:val="00F1263F"/>
    <w:rsid w:val="00F14F7F"/>
    <w:rsid w:val="00F152F3"/>
    <w:rsid w:val="00F15F86"/>
    <w:rsid w:val="00F1696C"/>
    <w:rsid w:val="00F16C65"/>
    <w:rsid w:val="00F175CE"/>
    <w:rsid w:val="00F17BEE"/>
    <w:rsid w:val="00F21B54"/>
    <w:rsid w:val="00F21F26"/>
    <w:rsid w:val="00F22677"/>
    <w:rsid w:val="00F23A3D"/>
    <w:rsid w:val="00F269B6"/>
    <w:rsid w:val="00F27023"/>
    <w:rsid w:val="00F314DF"/>
    <w:rsid w:val="00F317C4"/>
    <w:rsid w:val="00F321D2"/>
    <w:rsid w:val="00F335C4"/>
    <w:rsid w:val="00F35897"/>
    <w:rsid w:val="00F4061F"/>
    <w:rsid w:val="00F413E9"/>
    <w:rsid w:val="00F42703"/>
    <w:rsid w:val="00F433EB"/>
    <w:rsid w:val="00F5004F"/>
    <w:rsid w:val="00F503B3"/>
    <w:rsid w:val="00F51FF9"/>
    <w:rsid w:val="00F55B21"/>
    <w:rsid w:val="00F57CAF"/>
    <w:rsid w:val="00F6097D"/>
    <w:rsid w:val="00F611A2"/>
    <w:rsid w:val="00F62B91"/>
    <w:rsid w:val="00F647D8"/>
    <w:rsid w:val="00F652CC"/>
    <w:rsid w:val="00F654BD"/>
    <w:rsid w:val="00F66767"/>
    <w:rsid w:val="00F66975"/>
    <w:rsid w:val="00F66CCE"/>
    <w:rsid w:val="00F7076B"/>
    <w:rsid w:val="00F70ED4"/>
    <w:rsid w:val="00F7140F"/>
    <w:rsid w:val="00F717E9"/>
    <w:rsid w:val="00F72B34"/>
    <w:rsid w:val="00F72D1F"/>
    <w:rsid w:val="00F7395F"/>
    <w:rsid w:val="00F739E7"/>
    <w:rsid w:val="00F74768"/>
    <w:rsid w:val="00F74B61"/>
    <w:rsid w:val="00F75913"/>
    <w:rsid w:val="00F806E5"/>
    <w:rsid w:val="00F81182"/>
    <w:rsid w:val="00F844AE"/>
    <w:rsid w:val="00F8542B"/>
    <w:rsid w:val="00F85EDE"/>
    <w:rsid w:val="00F91571"/>
    <w:rsid w:val="00F9209B"/>
    <w:rsid w:val="00F92657"/>
    <w:rsid w:val="00F938E9"/>
    <w:rsid w:val="00F93CDA"/>
    <w:rsid w:val="00F94753"/>
    <w:rsid w:val="00F949F5"/>
    <w:rsid w:val="00F94F0C"/>
    <w:rsid w:val="00F95DBB"/>
    <w:rsid w:val="00F968BC"/>
    <w:rsid w:val="00F97EB2"/>
    <w:rsid w:val="00FA23F6"/>
    <w:rsid w:val="00FA261D"/>
    <w:rsid w:val="00FA300A"/>
    <w:rsid w:val="00FA31CA"/>
    <w:rsid w:val="00FA3F9D"/>
    <w:rsid w:val="00FA4441"/>
    <w:rsid w:val="00FA484A"/>
    <w:rsid w:val="00FA556C"/>
    <w:rsid w:val="00FA5EE4"/>
    <w:rsid w:val="00FB05A6"/>
    <w:rsid w:val="00FB0B1C"/>
    <w:rsid w:val="00FB2EE1"/>
    <w:rsid w:val="00FB4714"/>
    <w:rsid w:val="00FB471E"/>
    <w:rsid w:val="00FB50D0"/>
    <w:rsid w:val="00FB57C2"/>
    <w:rsid w:val="00FB6178"/>
    <w:rsid w:val="00FB62B5"/>
    <w:rsid w:val="00FB7035"/>
    <w:rsid w:val="00FB7EDE"/>
    <w:rsid w:val="00FC27E7"/>
    <w:rsid w:val="00FC2D80"/>
    <w:rsid w:val="00FC5292"/>
    <w:rsid w:val="00FC5434"/>
    <w:rsid w:val="00FC7653"/>
    <w:rsid w:val="00FC7A8E"/>
    <w:rsid w:val="00FD0D7C"/>
    <w:rsid w:val="00FD122C"/>
    <w:rsid w:val="00FD1382"/>
    <w:rsid w:val="00FD2062"/>
    <w:rsid w:val="00FD28D0"/>
    <w:rsid w:val="00FD38F1"/>
    <w:rsid w:val="00FD41FB"/>
    <w:rsid w:val="00FD4821"/>
    <w:rsid w:val="00FD605E"/>
    <w:rsid w:val="00FD6F75"/>
    <w:rsid w:val="00FD7D6F"/>
    <w:rsid w:val="00FE0731"/>
    <w:rsid w:val="00FE2CD3"/>
    <w:rsid w:val="00FE3343"/>
    <w:rsid w:val="00FE4411"/>
    <w:rsid w:val="00FE493F"/>
    <w:rsid w:val="00FE4A3B"/>
    <w:rsid w:val="00FE5722"/>
    <w:rsid w:val="00FE57D5"/>
    <w:rsid w:val="00FE5B7F"/>
    <w:rsid w:val="00FE65B2"/>
    <w:rsid w:val="00FE7791"/>
    <w:rsid w:val="00FF161C"/>
    <w:rsid w:val="00FF17B6"/>
    <w:rsid w:val="00FF3241"/>
    <w:rsid w:val="00FF45CE"/>
    <w:rsid w:val="00FF47ED"/>
    <w:rsid w:val="00FF589B"/>
    <w:rsid w:val="00FF5DFD"/>
    <w:rsid w:val="00FF72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E733B9E-FB64-4F5E-9126-26FF8FB08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2FA3"/>
    <w:pPr>
      <w:jc w:val="both"/>
    </w:pPr>
    <w:rPr>
      <w:rFonts w:ascii="Times New Roman" w:hAnsi="Times New Roman"/>
      <w:sz w:val="24"/>
    </w:rPr>
  </w:style>
  <w:style w:type="paragraph" w:styleId="Heading1">
    <w:name w:val="heading 1"/>
    <w:basedOn w:val="Normal"/>
    <w:next w:val="Normal"/>
    <w:link w:val="Heading1Char"/>
    <w:uiPriority w:val="9"/>
    <w:qFormat/>
    <w:rsid w:val="008D213D"/>
    <w:pPr>
      <w:keepNext/>
      <w:keepLines/>
      <w:spacing w:before="240" w:after="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DE2F9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4A431D"/>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84FE2"/>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272C32"/>
    <w:pPr>
      <w:ind w:left="720"/>
      <w:contextualSpacing/>
    </w:pPr>
  </w:style>
  <w:style w:type="character" w:customStyle="1" w:styleId="Heading1Char">
    <w:name w:val="Heading 1 Char"/>
    <w:basedOn w:val="DefaultParagraphFont"/>
    <w:link w:val="Heading1"/>
    <w:uiPriority w:val="9"/>
    <w:rsid w:val="008D213D"/>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DE2F9E"/>
    <w:rPr>
      <w:rFonts w:ascii="Times New Roman" w:eastAsiaTheme="majorEastAsia" w:hAnsi="Times New Roman" w:cstheme="majorBidi"/>
      <w:b/>
      <w:sz w:val="28"/>
      <w:szCs w:val="26"/>
    </w:rPr>
  </w:style>
  <w:style w:type="paragraph" w:styleId="TOCHeading">
    <w:name w:val="TOC Heading"/>
    <w:basedOn w:val="Heading1"/>
    <w:next w:val="Normal"/>
    <w:uiPriority w:val="39"/>
    <w:unhideWhenUsed/>
    <w:qFormat/>
    <w:rsid w:val="006F1904"/>
    <w:pPr>
      <w:jc w:val="left"/>
      <w:outlineLvl w:val="9"/>
    </w:pPr>
    <w:rPr>
      <w:rFonts w:asciiTheme="majorHAnsi" w:hAnsiTheme="majorHAnsi"/>
      <w:color w:val="2E74B5" w:themeColor="accent1" w:themeShade="BF"/>
      <w:lang w:val="en-US"/>
    </w:rPr>
  </w:style>
  <w:style w:type="paragraph" w:styleId="TOC1">
    <w:name w:val="toc 1"/>
    <w:basedOn w:val="Normal"/>
    <w:next w:val="Normal"/>
    <w:autoRedefine/>
    <w:uiPriority w:val="39"/>
    <w:unhideWhenUsed/>
    <w:rsid w:val="00DC7C5D"/>
    <w:pPr>
      <w:tabs>
        <w:tab w:val="right" w:leader="dot" w:pos="9344"/>
      </w:tabs>
      <w:spacing w:after="100"/>
    </w:pPr>
    <w:rPr>
      <w:rFonts w:eastAsia="Times New Roman"/>
      <w:noProof/>
      <w:szCs w:val="24"/>
      <w:lang w:eastAsia="lv-LV"/>
    </w:rPr>
  </w:style>
  <w:style w:type="character" w:styleId="Hyperlink">
    <w:name w:val="Hyperlink"/>
    <w:basedOn w:val="DefaultParagraphFont"/>
    <w:uiPriority w:val="99"/>
    <w:unhideWhenUsed/>
    <w:rsid w:val="006F1904"/>
    <w:rPr>
      <w:color w:val="0563C1" w:themeColor="hyperlink"/>
      <w:u w:val="single"/>
    </w:rPr>
  </w:style>
  <w:style w:type="paragraph" w:styleId="TOC2">
    <w:name w:val="toc 2"/>
    <w:basedOn w:val="Normal"/>
    <w:next w:val="Normal"/>
    <w:autoRedefine/>
    <w:uiPriority w:val="39"/>
    <w:unhideWhenUsed/>
    <w:rsid w:val="00DC7C5D"/>
    <w:pPr>
      <w:tabs>
        <w:tab w:val="right" w:leader="dot" w:pos="9457"/>
      </w:tabs>
      <w:spacing w:after="100"/>
      <w:ind w:left="240"/>
    </w:pPr>
    <w:rPr>
      <w:noProof/>
      <w:sz w:val="22"/>
    </w:rPr>
  </w:style>
  <w:style w:type="paragraph" w:styleId="Header">
    <w:name w:val="header"/>
    <w:basedOn w:val="Normal"/>
    <w:link w:val="HeaderChar"/>
    <w:uiPriority w:val="99"/>
    <w:unhideWhenUsed/>
    <w:rsid w:val="001A6063"/>
    <w:pPr>
      <w:tabs>
        <w:tab w:val="center" w:pos="4153"/>
        <w:tab w:val="right" w:pos="8306"/>
      </w:tabs>
      <w:spacing w:after="0" w:line="240" w:lineRule="auto"/>
    </w:pPr>
  </w:style>
  <w:style w:type="character" w:customStyle="1" w:styleId="HeaderChar">
    <w:name w:val="Header Char"/>
    <w:basedOn w:val="DefaultParagraphFont"/>
    <w:link w:val="Header"/>
    <w:uiPriority w:val="99"/>
    <w:rsid w:val="001A6063"/>
    <w:rPr>
      <w:rFonts w:ascii="Times New Roman" w:hAnsi="Times New Roman"/>
      <w:sz w:val="24"/>
    </w:rPr>
  </w:style>
  <w:style w:type="paragraph" w:styleId="Footer">
    <w:name w:val="footer"/>
    <w:basedOn w:val="Normal"/>
    <w:link w:val="FooterChar"/>
    <w:uiPriority w:val="99"/>
    <w:unhideWhenUsed/>
    <w:rsid w:val="001A6063"/>
    <w:pPr>
      <w:tabs>
        <w:tab w:val="center" w:pos="4153"/>
        <w:tab w:val="right" w:pos="8306"/>
      </w:tabs>
      <w:spacing w:after="0" w:line="240" w:lineRule="auto"/>
    </w:pPr>
  </w:style>
  <w:style w:type="character" w:customStyle="1" w:styleId="FooterChar">
    <w:name w:val="Footer Char"/>
    <w:basedOn w:val="DefaultParagraphFont"/>
    <w:link w:val="Footer"/>
    <w:uiPriority w:val="99"/>
    <w:rsid w:val="001A6063"/>
    <w:rPr>
      <w:rFonts w:ascii="Times New Roman" w:hAnsi="Times New Roman"/>
      <w:sz w:val="24"/>
    </w:rPr>
  </w:style>
  <w:style w:type="character" w:styleId="Strong">
    <w:name w:val="Strong"/>
    <w:basedOn w:val="DefaultParagraphFont"/>
    <w:qFormat/>
    <w:rsid w:val="00A65103"/>
    <w:rPr>
      <w:b/>
      <w:bCs/>
    </w:rPr>
  </w:style>
  <w:style w:type="paragraph" w:styleId="NormalWeb">
    <w:name w:val="Normal (Web)"/>
    <w:basedOn w:val="Normal"/>
    <w:rsid w:val="003C55D7"/>
    <w:pPr>
      <w:spacing w:before="100" w:beforeAutospacing="1" w:after="100" w:afterAutospacing="1" w:line="240" w:lineRule="auto"/>
      <w:jc w:val="left"/>
    </w:pPr>
    <w:rPr>
      <w:rFonts w:eastAsia="Times New Roman" w:cs="Times New Roman"/>
      <w:szCs w:val="24"/>
      <w:lang w:eastAsia="lv-LV"/>
    </w:rPr>
  </w:style>
  <w:style w:type="paragraph" w:customStyle="1" w:styleId="CharCharCharChar">
    <w:name w:val="Char Char Char Char"/>
    <w:basedOn w:val="Normal"/>
    <w:rsid w:val="00647289"/>
    <w:pPr>
      <w:spacing w:line="240" w:lineRule="exact"/>
      <w:jc w:val="left"/>
    </w:pPr>
    <w:rPr>
      <w:rFonts w:ascii="Tahoma" w:eastAsia="Times New Roman" w:hAnsi="Tahoma" w:cs="Times New Roman"/>
      <w:sz w:val="20"/>
      <w:szCs w:val="20"/>
      <w:lang w:val="en-US"/>
    </w:rPr>
  </w:style>
  <w:style w:type="paragraph" w:customStyle="1" w:styleId="CharCharCharChar0">
    <w:name w:val="Char Char Char Char"/>
    <w:basedOn w:val="Normal"/>
    <w:rsid w:val="00A46C6E"/>
    <w:pPr>
      <w:spacing w:line="240" w:lineRule="exact"/>
      <w:jc w:val="left"/>
    </w:pPr>
    <w:rPr>
      <w:rFonts w:ascii="Tahoma" w:eastAsia="Times New Roman" w:hAnsi="Tahoma" w:cs="Times New Roman"/>
      <w:sz w:val="20"/>
      <w:szCs w:val="20"/>
      <w:lang w:val="en-US"/>
    </w:rPr>
  </w:style>
  <w:style w:type="paragraph" w:customStyle="1" w:styleId="tv213">
    <w:name w:val="tv213"/>
    <w:basedOn w:val="Normal"/>
    <w:rsid w:val="00E61673"/>
    <w:pPr>
      <w:spacing w:before="100" w:beforeAutospacing="1" w:after="100" w:afterAutospacing="1" w:line="240" w:lineRule="auto"/>
      <w:jc w:val="left"/>
    </w:pPr>
    <w:rPr>
      <w:rFonts w:eastAsia="Times New Roman" w:cs="Times New Roman"/>
      <w:szCs w:val="24"/>
      <w:lang w:eastAsia="lv-LV"/>
    </w:rPr>
  </w:style>
  <w:style w:type="paragraph" w:styleId="BalloonText">
    <w:name w:val="Balloon Text"/>
    <w:basedOn w:val="Normal"/>
    <w:link w:val="BalloonTextChar"/>
    <w:uiPriority w:val="99"/>
    <w:semiHidden/>
    <w:unhideWhenUsed/>
    <w:rsid w:val="00222E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2E2C"/>
    <w:rPr>
      <w:rFonts w:ascii="Tahoma" w:hAnsi="Tahoma" w:cs="Tahoma"/>
      <w:sz w:val="16"/>
      <w:szCs w:val="16"/>
    </w:rPr>
  </w:style>
  <w:style w:type="table" w:styleId="TableGrid">
    <w:name w:val="Table Grid"/>
    <w:basedOn w:val="TableNormal"/>
    <w:uiPriority w:val="39"/>
    <w:rsid w:val="00707F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E02376"/>
  </w:style>
  <w:style w:type="paragraph" w:styleId="FootnoteText">
    <w:name w:val="footnote text"/>
    <w:aliases w:val="Footnote,Fußnote"/>
    <w:basedOn w:val="Normal"/>
    <w:link w:val="FootnoteTextChar"/>
    <w:rsid w:val="00E35FB6"/>
    <w:pPr>
      <w:spacing w:after="0" w:line="240" w:lineRule="auto"/>
      <w:jc w:val="left"/>
    </w:pPr>
    <w:rPr>
      <w:rFonts w:eastAsia="Times New Roman" w:cs="Times New Roman"/>
      <w:sz w:val="20"/>
      <w:szCs w:val="20"/>
      <w:lang w:eastAsia="lv-LV"/>
    </w:rPr>
  </w:style>
  <w:style w:type="character" w:customStyle="1" w:styleId="FootnoteTextChar">
    <w:name w:val="Footnote Text Char"/>
    <w:aliases w:val="Footnote Char,Fußnote Char"/>
    <w:basedOn w:val="DefaultParagraphFont"/>
    <w:link w:val="FootnoteText"/>
    <w:rsid w:val="00E35FB6"/>
    <w:rPr>
      <w:rFonts w:ascii="Times New Roman" w:eastAsia="Times New Roman" w:hAnsi="Times New Roman" w:cs="Times New Roman"/>
      <w:sz w:val="20"/>
      <w:szCs w:val="20"/>
      <w:lang w:eastAsia="lv-LV"/>
    </w:rPr>
  </w:style>
  <w:style w:type="character" w:styleId="FootnoteReference">
    <w:name w:val="footnote reference"/>
    <w:aliases w:val="Footnote Reference Number"/>
    <w:rsid w:val="00E35FB6"/>
    <w:rPr>
      <w:vertAlign w:val="superscript"/>
    </w:rPr>
  </w:style>
  <w:style w:type="paragraph" w:customStyle="1" w:styleId="naisf">
    <w:name w:val="naisf"/>
    <w:basedOn w:val="Normal"/>
    <w:rsid w:val="00E35FB6"/>
    <w:pPr>
      <w:spacing w:before="100" w:beforeAutospacing="1" w:after="100" w:afterAutospacing="1" w:line="240" w:lineRule="auto"/>
      <w:jc w:val="left"/>
    </w:pPr>
    <w:rPr>
      <w:rFonts w:eastAsia="Times New Roman" w:cs="Times New Roman"/>
      <w:szCs w:val="24"/>
      <w:lang w:eastAsia="lv-LV"/>
    </w:rPr>
  </w:style>
  <w:style w:type="character" w:customStyle="1" w:styleId="Heading3Char">
    <w:name w:val="Heading 3 Char"/>
    <w:basedOn w:val="DefaultParagraphFont"/>
    <w:link w:val="Heading3"/>
    <w:uiPriority w:val="9"/>
    <w:rsid w:val="004A431D"/>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DC7C5D"/>
    <w:pPr>
      <w:tabs>
        <w:tab w:val="right" w:leader="dot" w:pos="9457"/>
      </w:tabs>
      <w:spacing w:after="100"/>
      <w:ind w:left="480"/>
    </w:pPr>
    <w:rPr>
      <w:rFonts w:eastAsia="Times New Roman" w:cs="Times New Roman"/>
      <w:b/>
      <w:noProof/>
      <w:sz w:val="20"/>
      <w:szCs w:val="20"/>
      <w:lang w:eastAsia="lv-LV"/>
    </w:rPr>
  </w:style>
  <w:style w:type="paragraph" w:customStyle="1" w:styleId="tv2132">
    <w:name w:val="tv2132"/>
    <w:basedOn w:val="Normal"/>
    <w:rsid w:val="00011445"/>
    <w:pPr>
      <w:spacing w:after="0" w:line="360" w:lineRule="auto"/>
      <w:ind w:firstLine="300"/>
      <w:jc w:val="left"/>
    </w:pPr>
    <w:rPr>
      <w:rFonts w:cs="Times New Roman"/>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2656">
      <w:bodyDiv w:val="1"/>
      <w:marLeft w:val="0"/>
      <w:marRight w:val="0"/>
      <w:marTop w:val="0"/>
      <w:marBottom w:val="0"/>
      <w:divBdr>
        <w:top w:val="none" w:sz="0" w:space="0" w:color="auto"/>
        <w:left w:val="none" w:sz="0" w:space="0" w:color="auto"/>
        <w:bottom w:val="none" w:sz="0" w:space="0" w:color="auto"/>
        <w:right w:val="none" w:sz="0" w:space="0" w:color="auto"/>
      </w:divBdr>
      <w:divsChild>
        <w:div w:id="989480902">
          <w:marLeft w:val="0"/>
          <w:marRight w:val="0"/>
          <w:marTop w:val="0"/>
          <w:marBottom w:val="0"/>
          <w:divBdr>
            <w:top w:val="none" w:sz="0" w:space="0" w:color="auto"/>
            <w:left w:val="none" w:sz="0" w:space="0" w:color="auto"/>
            <w:bottom w:val="none" w:sz="0" w:space="0" w:color="auto"/>
            <w:right w:val="none" w:sz="0" w:space="0" w:color="auto"/>
          </w:divBdr>
        </w:div>
        <w:div w:id="112674966">
          <w:marLeft w:val="0"/>
          <w:marRight w:val="0"/>
          <w:marTop w:val="0"/>
          <w:marBottom w:val="0"/>
          <w:divBdr>
            <w:top w:val="none" w:sz="0" w:space="0" w:color="auto"/>
            <w:left w:val="none" w:sz="0" w:space="0" w:color="auto"/>
            <w:bottom w:val="none" w:sz="0" w:space="0" w:color="auto"/>
            <w:right w:val="none" w:sz="0" w:space="0" w:color="auto"/>
          </w:divBdr>
        </w:div>
        <w:div w:id="1129738248">
          <w:marLeft w:val="0"/>
          <w:marRight w:val="0"/>
          <w:marTop w:val="0"/>
          <w:marBottom w:val="0"/>
          <w:divBdr>
            <w:top w:val="none" w:sz="0" w:space="0" w:color="auto"/>
            <w:left w:val="none" w:sz="0" w:space="0" w:color="auto"/>
            <w:bottom w:val="none" w:sz="0" w:space="0" w:color="auto"/>
            <w:right w:val="none" w:sz="0" w:space="0" w:color="auto"/>
          </w:divBdr>
        </w:div>
      </w:divsChild>
    </w:div>
    <w:div w:id="192426456">
      <w:bodyDiv w:val="1"/>
      <w:marLeft w:val="0"/>
      <w:marRight w:val="0"/>
      <w:marTop w:val="0"/>
      <w:marBottom w:val="0"/>
      <w:divBdr>
        <w:top w:val="none" w:sz="0" w:space="0" w:color="auto"/>
        <w:left w:val="none" w:sz="0" w:space="0" w:color="auto"/>
        <w:bottom w:val="none" w:sz="0" w:space="0" w:color="auto"/>
        <w:right w:val="none" w:sz="0" w:space="0" w:color="auto"/>
      </w:divBdr>
    </w:div>
    <w:div w:id="324749930">
      <w:bodyDiv w:val="1"/>
      <w:marLeft w:val="0"/>
      <w:marRight w:val="0"/>
      <w:marTop w:val="0"/>
      <w:marBottom w:val="0"/>
      <w:divBdr>
        <w:top w:val="none" w:sz="0" w:space="0" w:color="auto"/>
        <w:left w:val="none" w:sz="0" w:space="0" w:color="auto"/>
        <w:bottom w:val="none" w:sz="0" w:space="0" w:color="auto"/>
        <w:right w:val="none" w:sz="0" w:space="0" w:color="auto"/>
      </w:divBdr>
    </w:div>
    <w:div w:id="327253196">
      <w:bodyDiv w:val="1"/>
      <w:marLeft w:val="0"/>
      <w:marRight w:val="0"/>
      <w:marTop w:val="0"/>
      <w:marBottom w:val="0"/>
      <w:divBdr>
        <w:top w:val="none" w:sz="0" w:space="0" w:color="auto"/>
        <w:left w:val="none" w:sz="0" w:space="0" w:color="auto"/>
        <w:bottom w:val="none" w:sz="0" w:space="0" w:color="auto"/>
        <w:right w:val="none" w:sz="0" w:space="0" w:color="auto"/>
      </w:divBdr>
    </w:div>
    <w:div w:id="465436792">
      <w:bodyDiv w:val="1"/>
      <w:marLeft w:val="0"/>
      <w:marRight w:val="0"/>
      <w:marTop w:val="0"/>
      <w:marBottom w:val="0"/>
      <w:divBdr>
        <w:top w:val="none" w:sz="0" w:space="0" w:color="auto"/>
        <w:left w:val="none" w:sz="0" w:space="0" w:color="auto"/>
        <w:bottom w:val="none" w:sz="0" w:space="0" w:color="auto"/>
        <w:right w:val="none" w:sz="0" w:space="0" w:color="auto"/>
      </w:divBdr>
    </w:div>
    <w:div w:id="474296480">
      <w:bodyDiv w:val="1"/>
      <w:marLeft w:val="0"/>
      <w:marRight w:val="0"/>
      <w:marTop w:val="0"/>
      <w:marBottom w:val="0"/>
      <w:divBdr>
        <w:top w:val="none" w:sz="0" w:space="0" w:color="auto"/>
        <w:left w:val="none" w:sz="0" w:space="0" w:color="auto"/>
        <w:bottom w:val="none" w:sz="0" w:space="0" w:color="auto"/>
        <w:right w:val="none" w:sz="0" w:space="0" w:color="auto"/>
      </w:divBdr>
    </w:div>
    <w:div w:id="598610549">
      <w:bodyDiv w:val="1"/>
      <w:marLeft w:val="0"/>
      <w:marRight w:val="0"/>
      <w:marTop w:val="0"/>
      <w:marBottom w:val="0"/>
      <w:divBdr>
        <w:top w:val="none" w:sz="0" w:space="0" w:color="auto"/>
        <w:left w:val="none" w:sz="0" w:space="0" w:color="auto"/>
        <w:bottom w:val="none" w:sz="0" w:space="0" w:color="auto"/>
        <w:right w:val="none" w:sz="0" w:space="0" w:color="auto"/>
      </w:divBdr>
    </w:div>
    <w:div w:id="619846862">
      <w:bodyDiv w:val="1"/>
      <w:marLeft w:val="0"/>
      <w:marRight w:val="0"/>
      <w:marTop w:val="0"/>
      <w:marBottom w:val="0"/>
      <w:divBdr>
        <w:top w:val="none" w:sz="0" w:space="0" w:color="auto"/>
        <w:left w:val="none" w:sz="0" w:space="0" w:color="auto"/>
        <w:bottom w:val="none" w:sz="0" w:space="0" w:color="auto"/>
        <w:right w:val="none" w:sz="0" w:space="0" w:color="auto"/>
      </w:divBdr>
    </w:div>
    <w:div w:id="634869141">
      <w:bodyDiv w:val="1"/>
      <w:marLeft w:val="0"/>
      <w:marRight w:val="0"/>
      <w:marTop w:val="0"/>
      <w:marBottom w:val="0"/>
      <w:divBdr>
        <w:top w:val="none" w:sz="0" w:space="0" w:color="auto"/>
        <w:left w:val="none" w:sz="0" w:space="0" w:color="auto"/>
        <w:bottom w:val="none" w:sz="0" w:space="0" w:color="auto"/>
        <w:right w:val="none" w:sz="0" w:space="0" w:color="auto"/>
      </w:divBdr>
      <w:divsChild>
        <w:div w:id="1120565549">
          <w:marLeft w:val="0"/>
          <w:marRight w:val="0"/>
          <w:marTop w:val="0"/>
          <w:marBottom w:val="0"/>
          <w:divBdr>
            <w:top w:val="none" w:sz="0" w:space="0" w:color="auto"/>
            <w:left w:val="none" w:sz="0" w:space="0" w:color="auto"/>
            <w:bottom w:val="none" w:sz="0" w:space="0" w:color="auto"/>
            <w:right w:val="none" w:sz="0" w:space="0" w:color="auto"/>
          </w:divBdr>
        </w:div>
        <w:div w:id="1885604485">
          <w:marLeft w:val="0"/>
          <w:marRight w:val="0"/>
          <w:marTop w:val="0"/>
          <w:marBottom w:val="0"/>
          <w:divBdr>
            <w:top w:val="none" w:sz="0" w:space="0" w:color="auto"/>
            <w:left w:val="none" w:sz="0" w:space="0" w:color="auto"/>
            <w:bottom w:val="none" w:sz="0" w:space="0" w:color="auto"/>
            <w:right w:val="none" w:sz="0" w:space="0" w:color="auto"/>
          </w:divBdr>
        </w:div>
      </w:divsChild>
    </w:div>
    <w:div w:id="671184910">
      <w:bodyDiv w:val="1"/>
      <w:marLeft w:val="0"/>
      <w:marRight w:val="0"/>
      <w:marTop w:val="0"/>
      <w:marBottom w:val="0"/>
      <w:divBdr>
        <w:top w:val="none" w:sz="0" w:space="0" w:color="auto"/>
        <w:left w:val="none" w:sz="0" w:space="0" w:color="auto"/>
        <w:bottom w:val="none" w:sz="0" w:space="0" w:color="auto"/>
        <w:right w:val="none" w:sz="0" w:space="0" w:color="auto"/>
      </w:divBdr>
    </w:div>
    <w:div w:id="843982397">
      <w:bodyDiv w:val="1"/>
      <w:marLeft w:val="0"/>
      <w:marRight w:val="0"/>
      <w:marTop w:val="0"/>
      <w:marBottom w:val="0"/>
      <w:divBdr>
        <w:top w:val="none" w:sz="0" w:space="0" w:color="auto"/>
        <w:left w:val="none" w:sz="0" w:space="0" w:color="auto"/>
        <w:bottom w:val="none" w:sz="0" w:space="0" w:color="auto"/>
        <w:right w:val="none" w:sz="0" w:space="0" w:color="auto"/>
      </w:divBdr>
      <w:divsChild>
        <w:div w:id="1747410046">
          <w:marLeft w:val="0"/>
          <w:marRight w:val="0"/>
          <w:marTop w:val="0"/>
          <w:marBottom w:val="0"/>
          <w:divBdr>
            <w:top w:val="none" w:sz="0" w:space="0" w:color="auto"/>
            <w:left w:val="none" w:sz="0" w:space="0" w:color="auto"/>
            <w:bottom w:val="none" w:sz="0" w:space="0" w:color="auto"/>
            <w:right w:val="none" w:sz="0" w:space="0" w:color="auto"/>
          </w:divBdr>
        </w:div>
        <w:div w:id="1821337642">
          <w:marLeft w:val="0"/>
          <w:marRight w:val="0"/>
          <w:marTop w:val="0"/>
          <w:marBottom w:val="0"/>
          <w:divBdr>
            <w:top w:val="none" w:sz="0" w:space="0" w:color="auto"/>
            <w:left w:val="none" w:sz="0" w:space="0" w:color="auto"/>
            <w:bottom w:val="none" w:sz="0" w:space="0" w:color="auto"/>
            <w:right w:val="none" w:sz="0" w:space="0" w:color="auto"/>
          </w:divBdr>
        </w:div>
      </w:divsChild>
    </w:div>
    <w:div w:id="898637241">
      <w:bodyDiv w:val="1"/>
      <w:marLeft w:val="0"/>
      <w:marRight w:val="0"/>
      <w:marTop w:val="0"/>
      <w:marBottom w:val="0"/>
      <w:divBdr>
        <w:top w:val="none" w:sz="0" w:space="0" w:color="auto"/>
        <w:left w:val="none" w:sz="0" w:space="0" w:color="auto"/>
        <w:bottom w:val="none" w:sz="0" w:space="0" w:color="auto"/>
        <w:right w:val="none" w:sz="0" w:space="0" w:color="auto"/>
      </w:divBdr>
    </w:div>
    <w:div w:id="903368246">
      <w:bodyDiv w:val="1"/>
      <w:marLeft w:val="0"/>
      <w:marRight w:val="0"/>
      <w:marTop w:val="0"/>
      <w:marBottom w:val="0"/>
      <w:divBdr>
        <w:top w:val="none" w:sz="0" w:space="0" w:color="auto"/>
        <w:left w:val="none" w:sz="0" w:space="0" w:color="auto"/>
        <w:bottom w:val="none" w:sz="0" w:space="0" w:color="auto"/>
        <w:right w:val="none" w:sz="0" w:space="0" w:color="auto"/>
      </w:divBdr>
    </w:div>
    <w:div w:id="970593551">
      <w:bodyDiv w:val="1"/>
      <w:marLeft w:val="0"/>
      <w:marRight w:val="0"/>
      <w:marTop w:val="0"/>
      <w:marBottom w:val="0"/>
      <w:divBdr>
        <w:top w:val="none" w:sz="0" w:space="0" w:color="auto"/>
        <w:left w:val="none" w:sz="0" w:space="0" w:color="auto"/>
        <w:bottom w:val="none" w:sz="0" w:space="0" w:color="auto"/>
        <w:right w:val="none" w:sz="0" w:space="0" w:color="auto"/>
      </w:divBdr>
    </w:div>
    <w:div w:id="1001397849">
      <w:bodyDiv w:val="1"/>
      <w:marLeft w:val="0"/>
      <w:marRight w:val="0"/>
      <w:marTop w:val="0"/>
      <w:marBottom w:val="0"/>
      <w:divBdr>
        <w:top w:val="none" w:sz="0" w:space="0" w:color="auto"/>
        <w:left w:val="none" w:sz="0" w:space="0" w:color="auto"/>
        <w:bottom w:val="none" w:sz="0" w:space="0" w:color="auto"/>
        <w:right w:val="none" w:sz="0" w:space="0" w:color="auto"/>
      </w:divBdr>
    </w:div>
    <w:div w:id="1119880581">
      <w:bodyDiv w:val="1"/>
      <w:marLeft w:val="0"/>
      <w:marRight w:val="0"/>
      <w:marTop w:val="0"/>
      <w:marBottom w:val="0"/>
      <w:divBdr>
        <w:top w:val="none" w:sz="0" w:space="0" w:color="auto"/>
        <w:left w:val="none" w:sz="0" w:space="0" w:color="auto"/>
        <w:bottom w:val="none" w:sz="0" w:space="0" w:color="auto"/>
        <w:right w:val="none" w:sz="0" w:space="0" w:color="auto"/>
      </w:divBdr>
    </w:div>
    <w:div w:id="1217207895">
      <w:bodyDiv w:val="1"/>
      <w:marLeft w:val="0"/>
      <w:marRight w:val="0"/>
      <w:marTop w:val="0"/>
      <w:marBottom w:val="0"/>
      <w:divBdr>
        <w:top w:val="none" w:sz="0" w:space="0" w:color="auto"/>
        <w:left w:val="none" w:sz="0" w:space="0" w:color="auto"/>
        <w:bottom w:val="none" w:sz="0" w:space="0" w:color="auto"/>
        <w:right w:val="none" w:sz="0" w:space="0" w:color="auto"/>
      </w:divBdr>
    </w:div>
    <w:div w:id="1277953083">
      <w:bodyDiv w:val="1"/>
      <w:marLeft w:val="0"/>
      <w:marRight w:val="0"/>
      <w:marTop w:val="0"/>
      <w:marBottom w:val="0"/>
      <w:divBdr>
        <w:top w:val="none" w:sz="0" w:space="0" w:color="auto"/>
        <w:left w:val="none" w:sz="0" w:space="0" w:color="auto"/>
        <w:bottom w:val="none" w:sz="0" w:space="0" w:color="auto"/>
        <w:right w:val="none" w:sz="0" w:space="0" w:color="auto"/>
      </w:divBdr>
    </w:div>
    <w:div w:id="1295796819">
      <w:bodyDiv w:val="1"/>
      <w:marLeft w:val="0"/>
      <w:marRight w:val="0"/>
      <w:marTop w:val="0"/>
      <w:marBottom w:val="0"/>
      <w:divBdr>
        <w:top w:val="none" w:sz="0" w:space="0" w:color="auto"/>
        <w:left w:val="none" w:sz="0" w:space="0" w:color="auto"/>
        <w:bottom w:val="none" w:sz="0" w:space="0" w:color="auto"/>
        <w:right w:val="none" w:sz="0" w:space="0" w:color="auto"/>
      </w:divBdr>
    </w:div>
    <w:div w:id="1701976251">
      <w:bodyDiv w:val="1"/>
      <w:marLeft w:val="0"/>
      <w:marRight w:val="0"/>
      <w:marTop w:val="0"/>
      <w:marBottom w:val="0"/>
      <w:divBdr>
        <w:top w:val="none" w:sz="0" w:space="0" w:color="auto"/>
        <w:left w:val="none" w:sz="0" w:space="0" w:color="auto"/>
        <w:bottom w:val="none" w:sz="0" w:space="0" w:color="auto"/>
        <w:right w:val="none" w:sz="0" w:space="0" w:color="auto"/>
      </w:divBdr>
    </w:div>
    <w:div w:id="1713381792">
      <w:bodyDiv w:val="1"/>
      <w:marLeft w:val="0"/>
      <w:marRight w:val="0"/>
      <w:marTop w:val="0"/>
      <w:marBottom w:val="0"/>
      <w:divBdr>
        <w:top w:val="none" w:sz="0" w:space="0" w:color="auto"/>
        <w:left w:val="none" w:sz="0" w:space="0" w:color="auto"/>
        <w:bottom w:val="none" w:sz="0" w:space="0" w:color="auto"/>
        <w:right w:val="none" w:sz="0" w:space="0" w:color="auto"/>
      </w:divBdr>
      <w:divsChild>
        <w:div w:id="278420321">
          <w:marLeft w:val="0"/>
          <w:marRight w:val="0"/>
          <w:marTop w:val="0"/>
          <w:marBottom w:val="0"/>
          <w:divBdr>
            <w:top w:val="none" w:sz="0" w:space="0" w:color="auto"/>
            <w:left w:val="none" w:sz="0" w:space="0" w:color="auto"/>
            <w:bottom w:val="none" w:sz="0" w:space="0" w:color="auto"/>
            <w:right w:val="none" w:sz="0" w:space="0" w:color="auto"/>
          </w:divBdr>
        </w:div>
        <w:div w:id="678040340">
          <w:marLeft w:val="0"/>
          <w:marRight w:val="0"/>
          <w:marTop w:val="0"/>
          <w:marBottom w:val="0"/>
          <w:divBdr>
            <w:top w:val="none" w:sz="0" w:space="0" w:color="auto"/>
            <w:left w:val="none" w:sz="0" w:space="0" w:color="auto"/>
            <w:bottom w:val="none" w:sz="0" w:space="0" w:color="auto"/>
            <w:right w:val="none" w:sz="0" w:space="0" w:color="auto"/>
          </w:divBdr>
        </w:div>
        <w:div w:id="2121605388">
          <w:marLeft w:val="0"/>
          <w:marRight w:val="0"/>
          <w:marTop w:val="0"/>
          <w:marBottom w:val="0"/>
          <w:divBdr>
            <w:top w:val="none" w:sz="0" w:space="0" w:color="auto"/>
            <w:left w:val="none" w:sz="0" w:space="0" w:color="auto"/>
            <w:bottom w:val="none" w:sz="0" w:space="0" w:color="auto"/>
            <w:right w:val="none" w:sz="0" w:space="0" w:color="auto"/>
          </w:divBdr>
        </w:div>
      </w:divsChild>
    </w:div>
    <w:div w:id="1862164885">
      <w:bodyDiv w:val="1"/>
      <w:marLeft w:val="0"/>
      <w:marRight w:val="0"/>
      <w:marTop w:val="0"/>
      <w:marBottom w:val="0"/>
      <w:divBdr>
        <w:top w:val="none" w:sz="0" w:space="0" w:color="auto"/>
        <w:left w:val="none" w:sz="0" w:space="0" w:color="auto"/>
        <w:bottom w:val="none" w:sz="0" w:space="0" w:color="auto"/>
        <w:right w:val="none" w:sz="0" w:space="0" w:color="auto"/>
      </w:divBdr>
      <w:divsChild>
        <w:div w:id="915045318">
          <w:marLeft w:val="0"/>
          <w:marRight w:val="0"/>
          <w:marTop w:val="0"/>
          <w:marBottom w:val="0"/>
          <w:divBdr>
            <w:top w:val="none" w:sz="0" w:space="0" w:color="auto"/>
            <w:left w:val="none" w:sz="0" w:space="0" w:color="auto"/>
            <w:bottom w:val="none" w:sz="0" w:space="0" w:color="auto"/>
            <w:right w:val="none" w:sz="0" w:space="0" w:color="auto"/>
          </w:divBdr>
        </w:div>
        <w:div w:id="293290355">
          <w:marLeft w:val="0"/>
          <w:marRight w:val="0"/>
          <w:marTop w:val="0"/>
          <w:marBottom w:val="0"/>
          <w:divBdr>
            <w:top w:val="none" w:sz="0" w:space="0" w:color="auto"/>
            <w:left w:val="none" w:sz="0" w:space="0" w:color="auto"/>
            <w:bottom w:val="none" w:sz="0" w:space="0" w:color="auto"/>
            <w:right w:val="none" w:sz="0" w:space="0" w:color="auto"/>
          </w:divBdr>
        </w:div>
      </w:divsChild>
    </w:div>
    <w:div w:id="1998192749">
      <w:bodyDiv w:val="1"/>
      <w:marLeft w:val="0"/>
      <w:marRight w:val="0"/>
      <w:marTop w:val="0"/>
      <w:marBottom w:val="0"/>
      <w:divBdr>
        <w:top w:val="none" w:sz="0" w:space="0" w:color="auto"/>
        <w:left w:val="none" w:sz="0" w:space="0" w:color="auto"/>
        <w:bottom w:val="none" w:sz="0" w:space="0" w:color="auto"/>
        <w:right w:val="none" w:sz="0" w:space="0" w:color="auto"/>
      </w:divBdr>
    </w:div>
    <w:div w:id="2120828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9" Type="http://schemas.openxmlformats.org/officeDocument/2006/relationships/chart" Target="charts/chart32.xml"/><Relationship Id="rId3" Type="http://schemas.openxmlformats.org/officeDocument/2006/relationships/styles" Target="styles.xml"/><Relationship Id="rId21" Type="http://schemas.openxmlformats.org/officeDocument/2006/relationships/chart" Target="charts/chart14.xml"/><Relationship Id="rId34" Type="http://schemas.openxmlformats.org/officeDocument/2006/relationships/chart" Target="charts/chart27.xml"/><Relationship Id="rId42" Type="http://schemas.openxmlformats.org/officeDocument/2006/relationships/chart" Target="charts/chart35.xml"/><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chart" Target="charts/chart26.xml"/><Relationship Id="rId38" Type="http://schemas.openxmlformats.org/officeDocument/2006/relationships/chart" Target="charts/chart31.xml"/><Relationship Id="rId46" Type="http://schemas.openxmlformats.org/officeDocument/2006/relationships/chart" Target="charts/chart39.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chart" Target="charts/chart22.xml"/><Relationship Id="rId41" Type="http://schemas.openxmlformats.org/officeDocument/2006/relationships/chart" Target="charts/chart3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chart" Target="charts/chart25.xml"/><Relationship Id="rId37" Type="http://schemas.openxmlformats.org/officeDocument/2006/relationships/chart" Target="charts/chart30.xml"/><Relationship Id="rId40" Type="http://schemas.openxmlformats.org/officeDocument/2006/relationships/chart" Target="charts/chart33.xml"/><Relationship Id="rId45" Type="http://schemas.openxmlformats.org/officeDocument/2006/relationships/chart" Target="charts/chart38.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36" Type="http://schemas.openxmlformats.org/officeDocument/2006/relationships/chart" Target="charts/chart29.xml"/><Relationship Id="rId49"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chart" Target="charts/chart24.xml"/><Relationship Id="rId44" Type="http://schemas.openxmlformats.org/officeDocument/2006/relationships/chart" Target="charts/chart37.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chart" Target="charts/chart23.xml"/><Relationship Id="rId35" Type="http://schemas.openxmlformats.org/officeDocument/2006/relationships/chart" Target="charts/chart28.xml"/><Relationship Id="rId43" Type="http://schemas.openxmlformats.org/officeDocument/2006/relationships/chart" Target="charts/chart36.xml"/><Relationship Id="rId48" Type="http://schemas.openxmlformats.org/officeDocument/2006/relationships/fontTable" Target="fontTable.xml"/><Relationship Id="rId8"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Nauris\Desktop\Statistika_procesaa\Statistikas_analizes\Grafiki_vecaki\Tabulas_2013.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26.xml"/><Relationship Id="rId1" Type="http://schemas.microsoft.com/office/2011/relationships/chartStyle" Target="style26.xml"/></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Excel_Worksheet28.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29.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30.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31.xlsx"/></Relationships>
</file>

<file path=word/charts/_rels/chart33.xml.rels><?xml version="1.0" encoding="UTF-8" standalone="yes"?>
<Relationships xmlns="http://schemas.openxmlformats.org/package/2006/relationships"><Relationship Id="rId3" Type="http://schemas.openxmlformats.org/officeDocument/2006/relationships/package" Target="../embeddings/Microsoft_Excel_Worksheet32.xlsx"/><Relationship Id="rId2" Type="http://schemas.microsoft.com/office/2011/relationships/chartColorStyle" Target="colors27.xml"/><Relationship Id="rId1" Type="http://schemas.microsoft.com/office/2011/relationships/chartStyle" Target="style27.xml"/></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Excel_Worksheet33.xlsx"/></Relationships>
</file>

<file path=word/charts/_rels/chart35.xml.rels><?xml version="1.0" encoding="UTF-8" standalone="yes"?>
<Relationships xmlns="http://schemas.openxmlformats.org/package/2006/relationships"><Relationship Id="rId3" Type="http://schemas.openxmlformats.org/officeDocument/2006/relationships/package" Target="../embeddings/Microsoft_Excel_Worksheet34.xlsx"/><Relationship Id="rId2" Type="http://schemas.microsoft.com/office/2011/relationships/chartColorStyle" Target="colors28.xml"/><Relationship Id="rId1" Type="http://schemas.microsoft.com/office/2011/relationships/chartStyle" Target="style28.xml"/></Relationships>
</file>

<file path=word/charts/_rels/chart36.xml.rels><?xml version="1.0" encoding="UTF-8" standalone="yes"?>
<Relationships xmlns="http://schemas.openxmlformats.org/package/2006/relationships"><Relationship Id="rId3" Type="http://schemas.openxmlformats.org/officeDocument/2006/relationships/package" Target="../embeddings/Microsoft_Excel_Worksheet35.xlsx"/><Relationship Id="rId2" Type="http://schemas.microsoft.com/office/2011/relationships/chartColorStyle" Target="colors29.xml"/><Relationship Id="rId1" Type="http://schemas.microsoft.com/office/2011/relationships/chartStyle" Target="style29.xml"/></Relationships>
</file>

<file path=word/charts/_rels/chart37.xml.rels><?xml version="1.0" encoding="UTF-8" standalone="yes"?>
<Relationships xmlns="http://schemas.openxmlformats.org/package/2006/relationships"><Relationship Id="rId1" Type="http://schemas.openxmlformats.org/officeDocument/2006/relationships/package" Target="../embeddings/Microsoft_Excel_Worksheet36.xlsx"/></Relationships>
</file>

<file path=word/charts/_rels/chart38.xml.rels><?xml version="1.0" encoding="UTF-8" standalone="yes"?>
<Relationships xmlns="http://schemas.openxmlformats.org/package/2006/relationships"><Relationship Id="rId3" Type="http://schemas.openxmlformats.org/officeDocument/2006/relationships/package" Target="../embeddings/Microsoft_Excel_Worksheet37.xlsx"/><Relationship Id="rId2" Type="http://schemas.microsoft.com/office/2011/relationships/chartColorStyle" Target="colors30.xml"/><Relationship Id="rId1" Type="http://schemas.microsoft.com/office/2011/relationships/chartStyle" Target="style30.xml"/></Relationships>
</file>

<file path=word/charts/_rels/chart39.xml.rels><?xml version="1.0" encoding="UTF-8" standalone="yes"?>
<Relationships xmlns="http://schemas.openxmlformats.org/package/2006/relationships"><Relationship Id="rId3" Type="http://schemas.openxmlformats.org/officeDocument/2006/relationships/package" Target="../embeddings/Microsoft_Excel_Worksheet38.xlsx"/><Relationship Id="rId2" Type="http://schemas.microsoft.com/office/2011/relationships/chartColorStyle" Target="colors31.xml"/><Relationship Id="rId1" Type="http://schemas.microsoft.com/office/2011/relationships/chartStyle" Target="style3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lv-LV" b="1">
                <a:solidFill>
                  <a:sysClr val="windowText" lastClr="000000"/>
                </a:solidFill>
              </a:rPr>
              <a:t>Ģimenes,</a:t>
            </a:r>
            <a:r>
              <a:rPr lang="lv-LV" b="1" baseline="0">
                <a:solidFill>
                  <a:sysClr val="windowText" lastClr="000000"/>
                </a:solidFill>
              </a:rPr>
              <a:t> kurās netiek pietiekami nodrošināta bērna attīstība un audzināšana</a:t>
            </a:r>
            <a:endParaRPr lang="lv-LV"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Sheet1!$B$21</c:f>
              <c:strCache>
                <c:ptCount val="1"/>
                <c:pt idx="0">
                  <c:v>Ģimeņu skaits</c:v>
                </c:pt>
              </c:strCache>
            </c:strRef>
          </c:tx>
          <c:spPr>
            <a:solidFill>
              <a:schemeClr val="accent4">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Sheet1!$C$20:$F$20</c:f>
              <c:numCache>
                <c:formatCode>General</c:formatCode>
                <c:ptCount val="4"/>
                <c:pt idx="0">
                  <c:v>2012</c:v>
                </c:pt>
                <c:pt idx="1">
                  <c:v>2013</c:v>
                </c:pt>
                <c:pt idx="2">
                  <c:v>2014</c:v>
                </c:pt>
                <c:pt idx="3">
                  <c:v>2015</c:v>
                </c:pt>
              </c:numCache>
            </c:numRef>
          </c:cat>
          <c:val>
            <c:numRef>
              <c:f>Sheet1!$C$21:$F$21</c:f>
              <c:numCache>
                <c:formatCode>General</c:formatCode>
                <c:ptCount val="4"/>
                <c:pt idx="0">
                  <c:v>2018</c:v>
                </c:pt>
                <c:pt idx="1">
                  <c:v>1872</c:v>
                </c:pt>
                <c:pt idx="2">
                  <c:v>1743</c:v>
                </c:pt>
                <c:pt idx="3">
                  <c:v>1641</c:v>
                </c:pt>
              </c:numCache>
            </c:numRef>
          </c:val>
        </c:ser>
        <c:ser>
          <c:idx val="1"/>
          <c:order val="1"/>
          <c:tx>
            <c:strRef>
              <c:f>Sheet1!$B$22</c:f>
              <c:strCache>
                <c:ptCount val="1"/>
                <c:pt idx="0">
                  <c:v>Bērnu skaits ģimenēs</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Sheet1!$C$20:$F$20</c:f>
              <c:numCache>
                <c:formatCode>General</c:formatCode>
                <c:ptCount val="4"/>
                <c:pt idx="0">
                  <c:v>2012</c:v>
                </c:pt>
                <c:pt idx="1">
                  <c:v>2013</c:v>
                </c:pt>
                <c:pt idx="2">
                  <c:v>2014</c:v>
                </c:pt>
                <c:pt idx="3">
                  <c:v>2015</c:v>
                </c:pt>
              </c:numCache>
            </c:numRef>
          </c:cat>
          <c:val>
            <c:numRef>
              <c:f>Sheet1!$C$22:$F$22</c:f>
              <c:numCache>
                <c:formatCode>General</c:formatCode>
                <c:ptCount val="4"/>
                <c:pt idx="0">
                  <c:v>3494</c:v>
                </c:pt>
                <c:pt idx="1">
                  <c:v>3238</c:v>
                </c:pt>
                <c:pt idx="2">
                  <c:v>3074</c:v>
                </c:pt>
                <c:pt idx="3">
                  <c:v>2909</c:v>
                </c:pt>
              </c:numCache>
            </c:numRef>
          </c:val>
        </c:ser>
        <c:dLbls>
          <c:showLegendKey val="0"/>
          <c:showVal val="0"/>
          <c:showCatName val="0"/>
          <c:showSerName val="0"/>
          <c:showPercent val="0"/>
          <c:showBubbleSize val="0"/>
        </c:dLbls>
        <c:gapWidth val="219"/>
        <c:overlap val="-27"/>
        <c:axId val="438291936"/>
        <c:axId val="438293112"/>
      </c:barChart>
      <c:catAx>
        <c:axId val="438291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438293112"/>
        <c:crosses val="autoZero"/>
        <c:auto val="1"/>
        <c:lblAlgn val="ctr"/>
        <c:lblOffset val="100"/>
        <c:noMultiLvlLbl val="0"/>
      </c:catAx>
      <c:valAx>
        <c:axId val="438293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8291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gradFill>
      <a:gsLst>
        <a:gs pos="30983">
          <a:srgbClr val="EAB8BD"/>
        </a:gs>
        <a:gs pos="60162">
          <a:schemeClr val="accent4">
            <a:lumMod val="40000"/>
            <a:lumOff val="60000"/>
          </a:schemeClr>
        </a:gs>
        <a:gs pos="0">
          <a:schemeClr val="accent4">
            <a:lumMod val="40000"/>
            <a:lumOff val="60000"/>
          </a:schemeClr>
        </a:gs>
        <a:gs pos="74000">
          <a:schemeClr val="accent4">
            <a:lumMod val="20000"/>
            <a:lumOff val="80000"/>
          </a:schemeClr>
        </a:gs>
        <a:gs pos="83000">
          <a:schemeClr val="accent4">
            <a:lumMod val="20000"/>
            <a:lumOff val="80000"/>
          </a:schemeClr>
        </a:gs>
        <a:gs pos="100000">
          <a:schemeClr val="accent4">
            <a:lumMod val="20000"/>
            <a:lumOff val="80000"/>
          </a:schemeClr>
        </a:gs>
      </a:gsLst>
      <a:lin ang="5400000" scaled="1"/>
    </a:gradFill>
    <a:ln w="1587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lv-LV" b="1" baseline="0">
                <a:solidFill>
                  <a:sysClr val="windowText" lastClr="000000"/>
                </a:solidFill>
              </a:rPr>
              <a:t>Kopējais ārpusģimenes aprūpē esošo bērnu skaits</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1477145356830397"/>
          <c:y val="0.21841024544246945"/>
          <c:w val="0.85467296587926511"/>
          <c:h val="0.66314085521268462"/>
        </c:manualLayout>
      </c:layout>
      <c:lineChart>
        <c:grouping val="stacked"/>
        <c:varyColors val="0"/>
        <c:ser>
          <c:idx val="0"/>
          <c:order val="0"/>
          <c:tx>
            <c:strRef>
              <c:f>Sheet1!$B$126:$D$126</c:f>
              <c:strCache>
                <c:ptCount val="3"/>
                <c:pt idx="0">
                  <c:v>Kopējais ārpusģimenes aprūpē esošo bērnu skaits</c:v>
                </c:pt>
              </c:strCache>
            </c:strRef>
          </c:tx>
          <c:spPr>
            <a:ln w="28575" cap="rnd">
              <a:solidFill>
                <a:srgbClr val="002060"/>
              </a:solidFill>
              <a:round/>
            </a:ln>
            <a:effectLst/>
          </c:spPr>
          <c:marker>
            <c:symbol val="circle"/>
            <c:size val="5"/>
            <c:spPr>
              <a:solidFill>
                <a:srgbClr val="0000FF"/>
              </a:solidFill>
              <a:ln w="9525">
                <a:solidFill>
                  <a:srgbClr val="002060"/>
                </a:solidFill>
              </a:ln>
              <a:effectLst/>
            </c:spPr>
          </c:marker>
          <c:dLbls>
            <c:dLbl>
              <c:idx val="0"/>
              <c:layout>
                <c:manualLayout>
                  <c:x val="-0.05"/>
                  <c:y val="-8.796296296296296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7222222222222325E-2"/>
                  <c:y val="-9.7222222222222307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1844534173323298E-16"/>
                  <c:y val="-5.378146515673917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Sheet1!$H$125:$K$125</c:f>
              <c:numCache>
                <c:formatCode>General</c:formatCode>
                <c:ptCount val="4"/>
                <c:pt idx="0">
                  <c:v>2012</c:v>
                </c:pt>
                <c:pt idx="1">
                  <c:v>2013</c:v>
                </c:pt>
                <c:pt idx="2">
                  <c:v>2014</c:v>
                </c:pt>
                <c:pt idx="3">
                  <c:v>2015</c:v>
                </c:pt>
              </c:numCache>
            </c:numRef>
          </c:cat>
          <c:val>
            <c:numRef>
              <c:f>Sheet1!$H$126:$K$126</c:f>
              <c:numCache>
                <c:formatCode>General</c:formatCode>
                <c:ptCount val="4"/>
                <c:pt idx="0">
                  <c:v>8095</c:v>
                </c:pt>
                <c:pt idx="1">
                  <c:v>7967</c:v>
                </c:pt>
                <c:pt idx="2">
                  <c:v>7606</c:v>
                </c:pt>
                <c:pt idx="3">
                  <c:v>7281</c:v>
                </c:pt>
              </c:numCache>
            </c:numRef>
          </c:val>
          <c:smooth val="0"/>
        </c:ser>
        <c:dLbls>
          <c:showLegendKey val="0"/>
          <c:showVal val="0"/>
          <c:showCatName val="0"/>
          <c:showSerName val="0"/>
          <c:showPercent val="0"/>
          <c:showBubbleSize val="0"/>
        </c:dLbls>
        <c:marker val="1"/>
        <c:smooth val="0"/>
        <c:axId val="498702696"/>
        <c:axId val="498703088"/>
      </c:lineChart>
      <c:catAx>
        <c:axId val="498702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98703088"/>
        <c:crosses val="autoZero"/>
        <c:auto val="1"/>
        <c:lblAlgn val="ctr"/>
        <c:lblOffset val="100"/>
        <c:noMultiLvlLbl val="0"/>
      </c:catAx>
      <c:valAx>
        <c:axId val="498703088"/>
        <c:scaling>
          <c:orientation val="minMax"/>
        </c:scaling>
        <c:delete val="0"/>
        <c:axPos val="l"/>
        <c:majorGridlines>
          <c:spPr>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8702696"/>
        <c:crosses val="autoZero"/>
        <c:crossBetween val="between"/>
      </c:valAx>
      <c:spPr>
        <a:gradFill>
          <a:gsLst>
            <a:gs pos="22000">
              <a:srgbClr val="99FFCC"/>
            </a:gs>
            <a:gs pos="67000">
              <a:schemeClr val="accent4">
                <a:lumMod val="60000"/>
                <a:lumOff val="40000"/>
              </a:schemeClr>
            </a:gs>
            <a:gs pos="83000">
              <a:schemeClr val="accent1">
                <a:lumMod val="30000"/>
                <a:lumOff val="70000"/>
              </a:schemeClr>
            </a:gs>
          </a:gsLst>
          <a:lin ang="5400000" scaled="1"/>
        </a:gradFill>
        <a:ln>
          <a:noFill/>
        </a:ln>
        <a:effectLst/>
      </c:spPr>
    </c:plotArea>
    <c:plotVisOnly val="1"/>
    <c:dispBlanksAs val="zero"/>
    <c:showDLblsOverMax val="0"/>
  </c:chart>
  <c:spPr>
    <a:gradFill>
      <a:gsLst>
        <a:gs pos="95575">
          <a:srgbClr val="99FFCC"/>
        </a:gs>
        <a:gs pos="56610">
          <a:schemeClr val="bg1">
            <a:lumMod val="85000"/>
          </a:schemeClr>
        </a:gs>
        <a:gs pos="28315">
          <a:srgbClr val="99FFCC"/>
        </a:gs>
        <a:gs pos="80000">
          <a:srgbClr val="99FFCC"/>
        </a:gs>
        <a:gs pos="15000">
          <a:srgbClr val="99FFCC"/>
        </a:gs>
        <a:gs pos="72000">
          <a:schemeClr val="accent1">
            <a:lumMod val="30000"/>
            <a:lumOff val="70000"/>
          </a:schemeClr>
        </a:gs>
      </a:gsLst>
      <a:lin ang="5400000" scaled="1"/>
    </a:gradFill>
    <a:ln w="15875" cap="flat" cmpd="sng" algn="ctr">
      <a:solidFill>
        <a:schemeClr val="tx1">
          <a:lumMod val="75000"/>
          <a:lumOff val="2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lv-LV" b="1" baseline="0">
                <a:solidFill>
                  <a:sysClr val="windowText" lastClr="000000"/>
                </a:solidFill>
              </a:rPr>
              <a:t>Ārpusģimenes aprūpē esošo bērnu sadalījums pēc ārpusģimenes aprūpes veida</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gradFill>
          <a:gsLst>
            <a:gs pos="43000">
              <a:srgbClr val="FFFF00"/>
            </a:gs>
            <a:gs pos="86000">
              <a:schemeClr val="accent4">
                <a:lumMod val="60000"/>
                <a:lumOff val="40000"/>
              </a:schemeClr>
            </a:gs>
            <a:gs pos="15000">
              <a:srgbClr val="EAB8BD"/>
            </a:gs>
            <a:gs pos="30000">
              <a:schemeClr val="accent1">
                <a:lumMod val="30000"/>
                <a:lumOff val="70000"/>
              </a:schemeClr>
            </a:gs>
          </a:gsLst>
          <a:lin ang="5400000" scaled="1"/>
        </a:gradFill>
        <a:ln>
          <a:noFill/>
        </a:ln>
        <a:effectLst/>
        <a:sp3d/>
      </c:spPr>
    </c:sideWall>
    <c:backWall>
      <c:thickness val="0"/>
      <c:spPr>
        <a:gradFill>
          <a:gsLst>
            <a:gs pos="43000">
              <a:srgbClr val="FFFF00"/>
            </a:gs>
            <a:gs pos="86000">
              <a:schemeClr val="accent4">
                <a:lumMod val="60000"/>
                <a:lumOff val="40000"/>
              </a:schemeClr>
            </a:gs>
            <a:gs pos="15000">
              <a:srgbClr val="EAB8BD"/>
            </a:gs>
            <a:gs pos="30000">
              <a:schemeClr val="accent1">
                <a:lumMod val="30000"/>
                <a:lumOff val="70000"/>
              </a:schemeClr>
            </a:gs>
          </a:gsLst>
          <a:lin ang="5400000" scaled="1"/>
        </a:gradFill>
        <a:ln>
          <a:noFill/>
        </a:ln>
        <a:effectLst/>
        <a:sp3d/>
      </c:spPr>
    </c:backWall>
    <c:plotArea>
      <c:layout/>
      <c:bar3DChart>
        <c:barDir val="bar"/>
        <c:grouping val="clustered"/>
        <c:varyColors val="0"/>
        <c:ser>
          <c:idx val="0"/>
          <c:order val="0"/>
          <c:tx>
            <c:strRef>
              <c:f>Sheet1!$D$155</c:f>
              <c:strCache>
                <c:ptCount val="1"/>
                <c:pt idx="0">
                  <c:v>Bērnu skaits aizbildņa ģimenēs</c:v>
                </c:pt>
              </c:strCache>
            </c:strRef>
          </c:tx>
          <c:spPr>
            <a:solidFill>
              <a:schemeClr val="accent4">
                <a:lumMod val="75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Sheet1!$C$159:$C$162</c:f>
              <c:numCache>
                <c:formatCode>General</c:formatCode>
                <c:ptCount val="4"/>
                <c:pt idx="0">
                  <c:v>2012</c:v>
                </c:pt>
                <c:pt idx="1">
                  <c:v>2013</c:v>
                </c:pt>
                <c:pt idx="2">
                  <c:v>2014</c:v>
                </c:pt>
                <c:pt idx="3">
                  <c:v>2015</c:v>
                </c:pt>
              </c:numCache>
            </c:numRef>
          </c:cat>
          <c:val>
            <c:numRef>
              <c:f>Sheet1!$D$159:$D$162</c:f>
              <c:numCache>
                <c:formatCode>General</c:formatCode>
                <c:ptCount val="4"/>
                <c:pt idx="0">
                  <c:v>5051</c:v>
                </c:pt>
                <c:pt idx="1">
                  <c:v>4945</c:v>
                </c:pt>
                <c:pt idx="2">
                  <c:v>4831</c:v>
                </c:pt>
                <c:pt idx="3">
                  <c:v>4620</c:v>
                </c:pt>
              </c:numCache>
            </c:numRef>
          </c:val>
          <c:shape val="cylinder"/>
        </c:ser>
        <c:ser>
          <c:idx val="1"/>
          <c:order val="1"/>
          <c:tx>
            <c:strRef>
              <c:f>Sheet1!$E$155</c:f>
              <c:strCache>
                <c:ptCount val="1"/>
                <c:pt idx="0">
                  <c:v>Bērnu skaits audžuģimenēs</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Sheet1!$C$159:$C$162</c:f>
              <c:numCache>
                <c:formatCode>General</c:formatCode>
                <c:ptCount val="4"/>
                <c:pt idx="0">
                  <c:v>2012</c:v>
                </c:pt>
                <c:pt idx="1">
                  <c:v>2013</c:v>
                </c:pt>
                <c:pt idx="2">
                  <c:v>2014</c:v>
                </c:pt>
                <c:pt idx="3">
                  <c:v>2015</c:v>
                </c:pt>
              </c:numCache>
            </c:numRef>
          </c:cat>
          <c:val>
            <c:numRef>
              <c:f>Sheet1!$E$159:$E$162</c:f>
              <c:numCache>
                <c:formatCode>General</c:formatCode>
                <c:ptCount val="4"/>
                <c:pt idx="0">
                  <c:v>1155</c:v>
                </c:pt>
                <c:pt idx="1">
                  <c:v>1262</c:v>
                </c:pt>
                <c:pt idx="2">
                  <c:v>1224</c:v>
                </c:pt>
                <c:pt idx="3">
                  <c:v>1232</c:v>
                </c:pt>
              </c:numCache>
            </c:numRef>
          </c:val>
          <c:shape val="cylinder"/>
        </c:ser>
        <c:ser>
          <c:idx val="2"/>
          <c:order val="2"/>
          <c:tx>
            <c:strRef>
              <c:f>Sheet1!$F$155</c:f>
              <c:strCache>
                <c:ptCount val="1"/>
                <c:pt idx="0">
                  <c:v>Bērnu skaits institūcijās</c:v>
                </c:pt>
              </c:strCache>
            </c:strRef>
          </c:tx>
          <c:spPr>
            <a:solidFill>
              <a:srgbClr val="00800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Sheet1!$C$159:$C$162</c:f>
              <c:numCache>
                <c:formatCode>General</c:formatCode>
                <c:ptCount val="4"/>
                <c:pt idx="0">
                  <c:v>2012</c:v>
                </c:pt>
                <c:pt idx="1">
                  <c:v>2013</c:v>
                </c:pt>
                <c:pt idx="2">
                  <c:v>2014</c:v>
                </c:pt>
                <c:pt idx="3">
                  <c:v>2015</c:v>
                </c:pt>
              </c:numCache>
            </c:numRef>
          </c:cat>
          <c:val>
            <c:numRef>
              <c:f>Sheet1!$F$159:$F$162</c:f>
              <c:numCache>
                <c:formatCode>General</c:formatCode>
                <c:ptCount val="4"/>
                <c:pt idx="0">
                  <c:v>1889</c:v>
                </c:pt>
                <c:pt idx="1">
                  <c:v>1760</c:v>
                </c:pt>
                <c:pt idx="2">
                  <c:v>1551</c:v>
                </c:pt>
                <c:pt idx="3">
                  <c:v>1429</c:v>
                </c:pt>
              </c:numCache>
            </c:numRef>
          </c:val>
          <c:shape val="cylinder"/>
        </c:ser>
        <c:dLbls>
          <c:showLegendKey val="0"/>
          <c:showVal val="0"/>
          <c:showCatName val="0"/>
          <c:showSerName val="0"/>
          <c:showPercent val="0"/>
          <c:showBubbleSize val="0"/>
        </c:dLbls>
        <c:gapWidth val="150"/>
        <c:shape val="box"/>
        <c:axId val="498707008"/>
        <c:axId val="498706224"/>
        <c:axId val="0"/>
      </c:bar3DChart>
      <c:catAx>
        <c:axId val="49870700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98706224"/>
        <c:crosses val="autoZero"/>
        <c:auto val="1"/>
        <c:lblAlgn val="ctr"/>
        <c:lblOffset val="100"/>
        <c:noMultiLvlLbl val="0"/>
      </c:catAx>
      <c:valAx>
        <c:axId val="4987062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870700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gradFill>
      <a:gsLst>
        <a:gs pos="45153">
          <a:srgbClr val="EDFA44"/>
        </a:gs>
        <a:gs pos="80000">
          <a:srgbClr val="92D050"/>
        </a:gs>
        <a:gs pos="15000">
          <a:srgbClr val="FFCC66"/>
        </a:gs>
        <a:gs pos="72000">
          <a:schemeClr val="accent1">
            <a:lumMod val="30000"/>
            <a:lumOff val="70000"/>
          </a:schemeClr>
        </a:gs>
      </a:gsLst>
      <a:lin ang="5400000" scaled="1"/>
    </a:gradFill>
    <a:ln w="15875" cap="flat" cmpd="sng" algn="ctr">
      <a:solidFill>
        <a:schemeClr val="tx1">
          <a:lumMod val="65000"/>
          <a:lumOff val="3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baseline="0">
                <a:solidFill>
                  <a:sysClr val="windowText" lastClr="000000"/>
                </a:solidFill>
              </a:rPr>
              <a:t>Adoptējamo bērnu skaits ārpusģimenes aprūpē</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cked"/>
        <c:varyColors val="0"/>
        <c:ser>
          <c:idx val="0"/>
          <c:order val="0"/>
          <c:tx>
            <c:strRef>
              <c:f>Sheet1!$D$241</c:f>
              <c:strCache>
                <c:ptCount val="1"/>
                <c:pt idx="0">
                  <c:v>2012</c:v>
                </c:pt>
              </c:strCache>
            </c:strRef>
          </c:tx>
          <c:spPr>
            <a:ln w="28575" cap="rnd">
              <a:solidFill>
                <a:srgbClr val="FFC000"/>
              </a:solidFill>
              <a:round/>
            </a:ln>
            <a:effectLst/>
          </c:spPr>
          <c:marker>
            <c:symbol val="none"/>
          </c:marker>
          <c:dLbls>
            <c:dLbl>
              <c:idx val="2"/>
              <c:layout>
                <c:manualLayout>
                  <c:x val="-4.4444444444444446E-2"/>
                  <c:y val="2.777777777777769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Sheet1!$C$242:$C$245</c:f>
              <c:strCache>
                <c:ptCount val="4"/>
                <c:pt idx="0">
                  <c:v>Ārpusģimenes aprūpē esošo adoptējamo bērnu skaits</c:v>
                </c:pt>
                <c:pt idx="1">
                  <c:v>Bērnu skaits, kuri nepiekrīt adopcijai vispār</c:v>
                </c:pt>
                <c:pt idx="2">
                  <c:v>Bērnu skaits, kuri nepiekrīt adopcijai uz ārvalstīm</c:v>
                </c:pt>
                <c:pt idx="3">
                  <c:v>Bērnu skaits, par kuriem aizbildņi nav devuši piekrišanu adopcijai</c:v>
                </c:pt>
              </c:strCache>
            </c:strRef>
          </c:cat>
          <c:val>
            <c:numRef>
              <c:f>Sheet1!$D$242:$D$245</c:f>
              <c:numCache>
                <c:formatCode>General</c:formatCode>
                <c:ptCount val="4"/>
                <c:pt idx="0">
                  <c:v>3013</c:v>
                </c:pt>
                <c:pt idx="1">
                  <c:v>1395</c:v>
                </c:pt>
                <c:pt idx="2">
                  <c:v>414</c:v>
                </c:pt>
                <c:pt idx="3">
                  <c:v>1513</c:v>
                </c:pt>
              </c:numCache>
            </c:numRef>
          </c:val>
          <c:smooth val="0"/>
        </c:ser>
        <c:ser>
          <c:idx val="1"/>
          <c:order val="1"/>
          <c:tx>
            <c:strRef>
              <c:f>Sheet1!$E$241</c:f>
              <c:strCache>
                <c:ptCount val="1"/>
                <c:pt idx="0">
                  <c:v>2013</c:v>
                </c:pt>
              </c:strCache>
            </c:strRef>
          </c:tx>
          <c:spPr>
            <a:ln w="28575" cap="rnd">
              <a:solidFill>
                <a:srgbClr val="006666"/>
              </a:solidFill>
              <a:round/>
            </a:ln>
            <a:effectLst/>
          </c:spPr>
          <c:marker>
            <c:symbol val="none"/>
          </c:marker>
          <c:dLbls>
            <c:dLbl>
              <c:idx val="2"/>
              <c:layout>
                <c:manualLayout>
                  <c:x val="3.0555555555555555E-2"/>
                  <c:y val="-9.2592592592592587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Sheet1!$C$242:$C$245</c:f>
              <c:strCache>
                <c:ptCount val="4"/>
                <c:pt idx="0">
                  <c:v>Ārpusģimenes aprūpē esošo adoptējamo bērnu skaits</c:v>
                </c:pt>
                <c:pt idx="1">
                  <c:v>Bērnu skaits, kuri nepiekrīt adopcijai vispār</c:v>
                </c:pt>
                <c:pt idx="2">
                  <c:v>Bērnu skaits, kuri nepiekrīt adopcijai uz ārvalstīm</c:v>
                </c:pt>
                <c:pt idx="3">
                  <c:v>Bērnu skaits, par kuriem aizbildņi nav devuši piekrišanu adopcijai</c:v>
                </c:pt>
              </c:strCache>
            </c:strRef>
          </c:cat>
          <c:val>
            <c:numRef>
              <c:f>Sheet1!$E$242:$E$245</c:f>
              <c:numCache>
                <c:formatCode>General</c:formatCode>
                <c:ptCount val="4"/>
                <c:pt idx="0">
                  <c:v>3732</c:v>
                </c:pt>
                <c:pt idx="1">
                  <c:v>1514</c:v>
                </c:pt>
                <c:pt idx="2">
                  <c:v>380</c:v>
                </c:pt>
                <c:pt idx="3">
                  <c:v>2108</c:v>
                </c:pt>
              </c:numCache>
            </c:numRef>
          </c:val>
          <c:smooth val="0"/>
        </c:ser>
        <c:ser>
          <c:idx val="2"/>
          <c:order val="2"/>
          <c:tx>
            <c:strRef>
              <c:f>Sheet1!$F$241</c:f>
              <c:strCache>
                <c:ptCount val="1"/>
                <c:pt idx="0">
                  <c:v>2014</c:v>
                </c:pt>
              </c:strCache>
            </c:strRef>
          </c:tx>
          <c:spPr>
            <a:ln w="28575" cap="rnd">
              <a:solidFill>
                <a:srgbClr val="C00000"/>
              </a:solidFill>
              <a:round/>
            </a:ln>
            <a:effectLst/>
          </c:spPr>
          <c:marker>
            <c:symbol val="none"/>
          </c:marker>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dLbl>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dLbl>
            <c:dLbl>
              <c:idx val="2"/>
              <c:layout>
                <c:manualLayout>
                  <c:x val="-9.2592592592593437E-3"/>
                  <c:y val="-6.7126565457231391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3"/>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Sheet1!$C$242:$C$245</c:f>
              <c:strCache>
                <c:ptCount val="4"/>
                <c:pt idx="0">
                  <c:v>Ārpusģimenes aprūpē esošo adoptējamo bērnu skaits</c:v>
                </c:pt>
                <c:pt idx="1">
                  <c:v>Bērnu skaits, kuri nepiekrīt adopcijai vispār</c:v>
                </c:pt>
                <c:pt idx="2">
                  <c:v>Bērnu skaits, kuri nepiekrīt adopcijai uz ārvalstīm</c:v>
                </c:pt>
                <c:pt idx="3">
                  <c:v>Bērnu skaits, par kuriem aizbildņi nav devuši piekrišanu adopcijai</c:v>
                </c:pt>
              </c:strCache>
            </c:strRef>
          </c:cat>
          <c:val>
            <c:numRef>
              <c:f>Sheet1!$F$242:$F$245</c:f>
              <c:numCache>
                <c:formatCode>General</c:formatCode>
                <c:ptCount val="4"/>
                <c:pt idx="0">
                  <c:v>3557</c:v>
                </c:pt>
                <c:pt idx="1">
                  <c:v>1530</c:v>
                </c:pt>
                <c:pt idx="2">
                  <c:v>116</c:v>
                </c:pt>
                <c:pt idx="3">
                  <c:v>2038</c:v>
                </c:pt>
              </c:numCache>
            </c:numRef>
          </c:val>
          <c:smooth val="0"/>
        </c:ser>
        <c:ser>
          <c:idx val="3"/>
          <c:order val="3"/>
          <c:tx>
            <c:strRef>
              <c:f>Sheet1!$G$241</c:f>
              <c:strCache>
                <c:ptCount val="1"/>
              </c:strCache>
            </c:strRef>
          </c:tx>
          <c:spPr>
            <a:ln w="28575" cap="rnd">
              <a:solidFill>
                <a:schemeClr val="accent4"/>
              </a:solidFill>
              <a:round/>
            </a:ln>
            <a:effectLst/>
          </c:spPr>
          <c:marker>
            <c:symbol val="none"/>
          </c:marker>
          <c:cat>
            <c:strRef>
              <c:f>Sheet1!$C$242:$C$245</c:f>
              <c:strCache>
                <c:ptCount val="4"/>
                <c:pt idx="0">
                  <c:v>Ārpusģimenes aprūpē esošo adoptējamo bērnu skaits</c:v>
                </c:pt>
                <c:pt idx="1">
                  <c:v>Bērnu skaits, kuri nepiekrīt adopcijai vispār</c:v>
                </c:pt>
                <c:pt idx="2">
                  <c:v>Bērnu skaits, kuri nepiekrīt adopcijai uz ārvalstīm</c:v>
                </c:pt>
                <c:pt idx="3">
                  <c:v>Bērnu skaits, par kuriem aizbildņi nav devuši piekrišanu adopcijai</c:v>
                </c:pt>
              </c:strCache>
            </c:strRef>
          </c:cat>
          <c:val>
            <c:numRef>
              <c:f>Sheet1!$G$242:$G$245</c:f>
            </c:numRef>
          </c:val>
          <c:smooth val="0"/>
        </c:ser>
        <c:ser>
          <c:idx val="4"/>
          <c:order val="4"/>
          <c:tx>
            <c:strRef>
              <c:f>Sheet1!$H$241</c:f>
              <c:strCache>
                <c:ptCount val="1"/>
              </c:strCache>
            </c:strRef>
          </c:tx>
          <c:spPr>
            <a:ln w="28575" cap="rnd">
              <a:solidFill>
                <a:schemeClr val="accent5"/>
              </a:solidFill>
              <a:round/>
            </a:ln>
            <a:effectLst/>
          </c:spPr>
          <c:marker>
            <c:symbol val="none"/>
          </c:marker>
          <c:cat>
            <c:strRef>
              <c:f>Sheet1!$C$242:$C$245</c:f>
              <c:strCache>
                <c:ptCount val="4"/>
                <c:pt idx="0">
                  <c:v>Ārpusģimenes aprūpē esošo adoptējamo bērnu skaits</c:v>
                </c:pt>
                <c:pt idx="1">
                  <c:v>Bērnu skaits, kuri nepiekrīt adopcijai vispār</c:v>
                </c:pt>
                <c:pt idx="2">
                  <c:v>Bērnu skaits, kuri nepiekrīt adopcijai uz ārvalstīm</c:v>
                </c:pt>
                <c:pt idx="3">
                  <c:v>Bērnu skaits, par kuriem aizbildņi nav devuši piekrišanu adopcijai</c:v>
                </c:pt>
              </c:strCache>
            </c:strRef>
          </c:cat>
          <c:val>
            <c:numRef>
              <c:f>Sheet1!$H$242:$H$245</c:f>
            </c:numRef>
          </c:val>
          <c:smooth val="0"/>
        </c:ser>
        <c:ser>
          <c:idx val="5"/>
          <c:order val="5"/>
          <c:tx>
            <c:strRef>
              <c:f>Sheet1!$I$241</c:f>
              <c:strCache>
                <c:ptCount val="1"/>
              </c:strCache>
            </c:strRef>
          </c:tx>
          <c:spPr>
            <a:ln w="28575" cap="rnd">
              <a:solidFill>
                <a:schemeClr val="accent6"/>
              </a:solidFill>
              <a:round/>
            </a:ln>
            <a:effectLst/>
          </c:spPr>
          <c:marker>
            <c:symbol val="none"/>
          </c:marker>
          <c:cat>
            <c:strRef>
              <c:f>Sheet1!$C$242:$C$245</c:f>
              <c:strCache>
                <c:ptCount val="4"/>
                <c:pt idx="0">
                  <c:v>Ārpusģimenes aprūpē esošo adoptējamo bērnu skaits</c:v>
                </c:pt>
                <c:pt idx="1">
                  <c:v>Bērnu skaits, kuri nepiekrīt adopcijai vispār</c:v>
                </c:pt>
                <c:pt idx="2">
                  <c:v>Bērnu skaits, kuri nepiekrīt adopcijai uz ārvalstīm</c:v>
                </c:pt>
                <c:pt idx="3">
                  <c:v>Bērnu skaits, par kuriem aizbildņi nav devuši piekrišanu adopcijai</c:v>
                </c:pt>
              </c:strCache>
            </c:strRef>
          </c:cat>
          <c:val>
            <c:numRef>
              <c:f>Sheet1!$I$242:$I$245</c:f>
            </c:numRef>
          </c:val>
          <c:smooth val="0"/>
        </c:ser>
        <c:ser>
          <c:idx val="6"/>
          <c:order val="6"/>
          <c:tx>
            <c:strRef>
              <c:f>Sheet1!$J$241</c:f>
              <c:strCache>
                <c:ptCount val="1"/>
              </c:strCache>
            </c:strRef>
          </c:tx>
          <c:spPr>
            <a:ln w="28575" cap="rnd">
              <a:solidFill>
                <a:schemeClr val="accent1">
                  <a:lumMod val="60000"/>
                </a:schemeClr>
              </a:solidFill>
              <a:round/>
            </a:ln>
            <a:effectLst/>
          </c:spPr>
          <c:marker>
            <c:symbol val="none"/>
          </c:marker>
          <c:cat>
            <c:strRef>
              <c:f>Sheet1!$C$242:$C$245</c:f>
              <c:strCache>
                <c:ptCount val="4"/>
                <c:pt idx="0">
                  <c:v>Ārpusģimenes aprūpē esošo adoptējamo bērnu skaits</c:v>
                </c:pt>
                <c:pt idx="1">
                  <c:v>Bērnu skaits, kuri nepiekrīt adopcijai vispār</c:v>
                </c:pt>
                <c:pt idx="2">
                  <c:v>Bērnu skaits, kuri nepiekrīt adopcijai uz ārvalstīm</c:v>
                </c:pt>
                <c:pt idx="3">
                  <c:v>Bērnu skaits, par kuriem aizbildņi nav devuši piekrišanu adopcijai</c:v>
                </c:pt>
              </c:strCache>
            </c:strRef>
          </c:cat>
          <c:val>
            <c:numRef>
              <c:f>Sheet1!$J$242:$J$245</c:f>
            </c:numRef>
          </c:val>
          <c:smooth val="0"/>
        </c:ser>
        <c:ser>
          <c:idx val="7"/>
          <c:order val="7"/>
          <c:tx>
            <c:strRef>
              <c:f>Sheet1!$K$241</c:f>
              <c:strCache>
                <c:ptCount val="1"/>
              </c:strCache>
            </c:strRef>
          </c:tx>
          <c:spPr>
            <a:ln w="28575" cap="rnd">
              <a:solidFill>
                <a:schemeClr val="accent2">
                  <a:lumMod val="60000"/>
                </a:schemeClr>
              </a:solidFill>
              <a:round/>
            </a:ln>
            <a:effectLst/>
          </c:spPr>
          <c:marker>
            <c:symbol val="none"/>
          </c:marker>
          <c:cat>
            <c:strRef>
              <c:f>Sheet1!$C$242:$C$245</c:f>
              <c:strCache>
                <c:ptCount val="4"/>
                <c:pt idx="0">
                  <c:v>Ārpusģimenes aprūpē esošo adoptējamo bērnu skaits</c:v>
                </c:pt>
                <c:pt idx="1">
                  <c:v>Bērnu skaits, kuri nepiekrīt adopcijai vispār</c:v>
                </c:pt>
                <c:pt idx="2">
                  <c:v>Bērnu skaits, kuri nepiekrīt adopcijai uz ārvalstīm</c:v>
                </c:pt>
                <c:pt idx="3">
                  <c:v>Bērnu skaits, par kuriem aizbildņi nav devuši piekrišanu adopcijai</c:v>
                </c:pt>
              </c:strCache>
            </c:strRef>
          </c:cat>
          <c:val>
            <c:numRef>
              <c:f>Sheet1!$K$242:$K$245</c:f>
            </c:numRef>
          </c:val>
          <c:smooth val="0"/>
        </c:ser>
        <c:ser>
          <c:idx val="8"/>
          <c:order val="8"/>
          <c:tx>
            <c:strRef>
              <c:f>Sheet1!$L$241</c:f>
              <c:strCache>
                <c:ptCount val="1"/>
                <c:pt idx="0">
                  <c:v>2015</c:v>
                </c:pt>
              </c:strCache>
            </c:strRef>
          </c:tx>
          <c:spPr>
            <a:ln w="28575" cap="rnd">
              <a:solidFill>
                <a:schemeClr val="accent3">
                  <a:lumMod val="60000"/>
                </a:schemeClr>
              </a:solidFill>
              <a:round/>
            </a:ln>
            <a:effectLst/>
          </c:spPr>
          <c:marker>
            <c:symbol val="none"/>
          </c:marker>
          <c:dLbls>
            <c:dLbl>
              <c:idx val="2"/>
              <c:layout>
                <c:manualLayout>
                  <c:x val="-1.8518518518518604E-2"/>
                  <c:y val="-0.174624804456599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Sheet1!$C$242:$C$245</c:f>
              <c:strCache>
                <c:ptCount val="4"/>
                <c:pt idx="0">
                  <c:v>Ārpusģimenes aprūpē esošo adoptējamo bērnu skaits</c:v>
                </c:pt>
                <c:pt idx="1">
                  <c:v>Bērnu skaits, kuri nepiekrīt adopcijai vispār</c:v>
                </c:pt>
                <c:pt idx="2">
                  <c:v>Bērnu skaits, kuri nepiekrīt adopcijai uz ārvalstīm</c:v>
                </c:pt>
                <c:pt idx="3">
                  <c:v>Bērnu skaits, par kuriem aizbildņi nav devuši piekrišanu adopcijai</c:v>
                </c:pt>
              </c:strCache>
            </c:strRef>
          </c:cat>
          <c:val>
            <c:numRef>
              <c:f>Sheet1!$L$242:$L$245</c:f>
              <c:numCache>
                <c:formatCode>General</c:formatCode>
                <c:ptCount val="4"/>
                <c:pt idx="0">
                  <c:v>3580</c:v>
                </c:pt>
                <c:pt idx="1">
                  <c:v>1519</c:v>
                </c:pt>
                <c:pt idx="2">
                  <c:v>118</c:v>
                </c:pt>
                <c:pt idx="3">
                  <c:v>1752</c:v>
                </c:pt>
              </c:numCache>
            </c:numRef>
          </c:val>
          <c:smooth val="0"/>
        </c:ser>
        <c:dLbls>
          <c:showLegendKey val="0"/>
          <c:showVal val="0"/>
          <c:showCatName val="0"/>
          <c:showSerName val="0"/>
          <c:showPercent val="0"/>
          <c:showBubbleSize val="0"/>
        </c:dLbls>
        <c:smooth val="0"/>
        <c:axId val="499909416"/>
        <c:axId val="499910592"/>
      </c:lineChart>
      <c:catAx>
        <c:axId val="499909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99910592"/>
        <c:crosses val="autoZero"/>
        <c:auto val="1"/>
        <c:lblAlgn val="ctr"/>
        <c:lblOffset val="100"/>
        <c:noMultiLvlLbl val="0"/>
      </c:catAx>
      <c:valAx>
        <c:axId val="499910592"/>
        <c:scaling>
          <c:orientation val="minMax"/>
        </c:scaling>
        <c:delete val="0"/>
        <c:axPos val="l"/>
        <c:majorGridlines>
          <c:spPr>
            <a:ln w="9525" cap="flat" cmpd="sng" algn="ctr">
              <a:gradFill>
                <a:gsLst>
                  <a:gs pos="48000">
                    <a:srgbClr val="7030A0"/>
                  </a:gs>
                  <a:gs pos="74000">
                    <a:schemeClr val="accent1">
                      <a:lumMod val="45000"/>
                      <a:lumOff val="55000"/>
                    </a:schemeClr>
                  </a:gs>
                  <a:gs pos="50000">
                    <a:srgbClr val="CC38A5"/>
                  </a:gs>
                  <a:gs pos="100000">
                    <a:schemeClr val="accent1">
                      <a:lumMod val="30000"/>
                      <a:lumOff val="70000"/>
                    </a:schemeClr>
                  </a:gs>
                </a:gsLst>
                <a:lin ang="5400000" scaled="1"/>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9909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zero"/>
    <c:showDLblsOverMax val="0"/>
  </c:chart>
  <c:spPr>
    <a:gradFill>
      <a:gsLst>
        <a:gs pos="0">
          <a:srgbClr val="BA8CDC"/>
        </a:gs>
        <a:gs pos="100000">
          <a:srgbClr val="7030A0"/>
        </a:gs>
        <a:gs pos="26000">
          <a:schemeClr val="accent1">
            <a:lumMod val="45000"/>
            <a:lumOff val="55000"/>
          </a:schemeClr>
        </a:gs>
        <a:gs pos="90000">
          <a:srgbClr val="92D050"/>
        </a:gs>
      </a:gsLst>
      <a:lin ang="5400000" scaled="1"/>
    </a:gradFill>
    <a:ln w="9525" cap="flat" cmpd="sng" algn="ctr">
      <a:gradFill>
        <a:gsLst>
          <a:gs pos="0">
            <a:schemeClr val="accent1">
              <a:lumMod val="5000"/>
              <a:lumOff val="95000"/>
            </a:schemeClr>
          </a:gs>
          <a:gs pos="20000">
            <a:srgbClr val="7030A0"/>
          </a:gs>
          <a:gs pos="26000">
            <a:schemeClr val="accent1">
              <a:lumMod val="45000"/>
              <a:lumOff val="55000"/>
            </a:schemeClr>
          </a:gs>
          <a:gs pos="46000">
            <a:schemeClr val="accent1">
              <a:lumMod val="30000"/>
              <a:lumOff val="70000"/>
            </a:schemeClr>
          </a:gs>
        </a:gsLst>
        <a:lin ang="5400000" scaled="1"/>
      </a:gra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lv-LV" b="1" i="0" baseline="0">
                <a:solidFill>
                  <a:sysClr val="windowText" lastClr="000000"/>
                </a:solidFill>
              </a:rPr>
              <a:t>Bērnu ārpusģimenes aprūpe 2015.gadā</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20313676256890048"/>
          <c:y val="0.16408573928258968"/>
          <c:w val="0.32719411870673309"/>
          <c:h val="0.66461796442111398"/>
        </c:manualLayout>
      </c:layout>
      <c:barChart>
        <c:barDir val="col"/>
        <c:grouping val="clustered"/>
        <c:varyColors val="0"/>
        <c:ser>
          <c:idx val="0"/>
          <c:order val="0"/>
          <c:spPr>
            <a:solidFill>
              <a:srgbClr val="5F2987"/>
            </a:solidFill>
            <a:ln w="19050">
              <a:solidFill>
                <a:schemeClr val="lt1"/>
              </a:solidFill>
            </a:ln>
            <a:effectLst/>
          </c:spPr>
          <c:invertIfNegative val="0"/>
          <c:dPt>
            <c:idx val="0"/>
            <c:invertIfNegative val="0"/>
            <c:bubble3D val="0"/>
            <c:spPr>
              <a:solidFill>
                <a:srgbClr val="5F2987"/>
              </a:solidFill>
              <a:ln w="19050">
                <a:solidFill>
                  <a:schemeClr val="lt1"/>
                </a:solidFill>
              </a:ln>
              <a:effectLst/>
            </c:spPr>
          </c:dPt>
          <c:dPt>
            <c:idx val="1"/>
            <c:invertIfNegative val="0"/>
            <c:bubble3D val="0"/>
            <c:spPr>
              <a:solidFill>
                <a:srgbClr val="AF4611"/>
              </a:solidFill>
              <a:ln w="19050">
                <a:solidFill>
                  <a:schemeClr val="lt1"/>
                </a:solidFill>
              </a:ln>
              <a:effectLst/>
            </c:spPr>
          </c:dPt>
          <c:dPt>
            <c:idx val="2"/>
            <c:invertIfNegative val="0"/>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Sheet1!$D$251:$D$253</c:f>
              <c:strCache>
                <c:ptCount val="3"/>
                <c:pt idx="0">
                  <c:v>Bērnu skaits, kuri ievietoti audžuģimenē</c:v>
                </c:pt>
                <c:pt idx="1">
                  <c:v>Bērnu skaits, kuri ievietoti aizbildņa ģimenē</c:v>
                </c:pt>
                <c:pt idx="2">
                  <c:v>Bērnu skaits, kuri ievietoti institūcijā</c:v>
                </c:pt>
              </c:strCache>
            </c:strRef>
          </c:cat>
          <c:val>
            <c:numRef>
              <c:f>Sheet1!$E$251:$E$253</c:f>
              <c:numCache>
                <c:formatCode>General</c:formatCode>
                <c:ptCount val="3"/>
                <c:pt idx="0">
                  <c:v>293</c:v>
                </c:pt>
                <c:pt idx="1">
                  <c:v>667</c:v>
                </c:pt>
                <c:pt idx="2">
                  <c:v>440</c:v>
                </c:pt>
              </c:numCache>
            </c:numRef>
          </c:val>
        </c:ser>
        <c:dLbls>
          <c:showLegendKey val="0"/>
          <c:showVal val="0"/>
          <c:showCatName val="0"/>
          <c:showSerName val="0"/>
          <c:showPercent val="0"/>
          <c:showBubbleSize val="0"/>
        </c:dLbls>
        <c:gapWidth val="100"/>
        <c:axId val="499901576"/>
        <c:axId val="499901968"/>
      </c:barChart>
      <c:catAx>
        <c:axId val="499901576"/>
        <c:scaling>
          <c:orientation val="minMax"/>
        </c:scaling>
        <c:delete val="1"/>
        <c:axPos val="b"/>
        <c:numFmt formatCode="General" sourceLinked="1"/>
        <c:majorTickMark val="out"/>
        <c:minorTickMark val="none"/>
        <c:tickLblPos val="nextTo"/>
        <c:crossAx val="499901968"/>
        <c:crosses val="autoZero"/>
        <c:auto val="1"/>
        <c:lblAlgn val="ctr"/>
        <c:lblOffset val="100"/>
        <c:noMultiLvlLbl val="0"/>
      </c:catAx>
      <c:valAx>
        <c:axId val="499901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9901576"/>
        <c:crosses val="autoZero"/>
        <c:crossBetween val="between"/>
      </c:valAx>
      <c:spPr>
        <a:noFill/>
        <a:ln>
          <a:noFill/>
        </a:ln>
        <a:effectLst/>
      </c:spPr>
    </c:plotArea>
    <c:legend>
      <c:legendPos val="tr"/>
      <c:layout>
        <c:manualLayout>
          <c:xMode val="edge"/>
          <c:yMode val="edge"/>
          <c:x val="0.60584491340970126"/>
          <c:y val="0.26430555555555557"/>
          <c:w val="0.37276447142368063"/>
          <c:h val="0.41896981627296587"/>
        </c:manualLayout>
      </c:layout>
      <c:overlay val="0"/>
      <c:spPr>
        <a:noFill/>
        <a:ln w="15875" cmpd="sng">
          <a:solidFill>
            <a:schemeClr val="bg1">
              <a:lumMod val="50000"/>
            </a:schemeClr>
          </a:solid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gradFill>
      <a:gsLst>
        <a:gs pos="0">
          <a:srgbClr val="FCF160"/>
        </a:gs>
        <a:gs pos="74000">
          <a:schemeClr val="accent2">
            <a:lumMod val="45000"/>
            <a:lumOff val="55000"/>
          </a:schemeClr>
        </a:gs>
        <a:gs pos="83000">
          <a:schemeClr val="accent2">
            <a:lumMod val="45000"/>
            <a:lumOff val="55000"/>
          </a:schemeClr>
        </a:gs>
        <a:gs pos="100000">
          <a:schemeClr val="accent2">
            <a:lumMod val="30000"/>
            <a:lumOff val="70000"/>
          </a:schemeClr>
        </a:gs>
      </a:gsLst>
      <a:lin ang="5400000" scaled="1"/>
    </a:gradFill>
    <a:ln w="1587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baseline="0">
                <a:solidFill>
                  <a:schemeClr val="tx1"/>
                </a:solidFill>
              </a:rPr>
              <a:t>Iemesli bērnu ārpusģimenes aprūpei 2015.gadā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rgbClr val="003300"/>
              </a:solidFill>
              <a:ln>
                <a:noFill/>
              </a:ln>
              <a:effectLst/>
            </c:spPr>
          </c:dPt>
          <c:dPt>
            <c:idx val="1"/>
            <c:invertIfNegative val="0"/>
            <c:bubble3D val="0"/>
            <c:spPr>
              <a:solidFill>
                <a:srgbClr val="FF3300"/>
              </a:solidFill>
              <a:ln>
                <a:noFill/>
              </a:ln>
              <a:effectLst/>
            </c:spPr>
          </c:dPt>
          <c:dPt>
            <c:idx val="2"/>
            <c:invertIfNegative val="0"/>
            <c:bubble3D val="0"/>
            <c:spPr>
              <a:solidFill>
                <a:srgbClr val="3D07A9"/>
              </a:solidFill>
              <a:ln>
                <a:noFill/>
              </a:ln>
              <a:effectLst/>
            </c:spPr>
          </c:dPt>
          <c:dPt>
            <c:idx val="4"/>
            <c:invertIfNegative val="0"/>
            <c:bubble3D val="0"/>
            <c:spPr>
              <a:solidFill>
                <a:srgbClr val="FF0000"/>
              </a:solidFill>
              <a:ln>
                <a:noFill/>
              </a:ln>
              <a:effectLst/>
            </c:spPr>
          </c:dPt>
          <c:dPt>
            <c:idx val="5"/>
            <c:invertIfNegative val="0"/>
            <c:bubble3D val="0"/>
            <c:spPr>
              <a:solidFill>
                <a:schemeClr val="accent4">
                  <a:lumMod val="75000"/>
                </a:schemeClr>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Sheet1!$C$267:$C$273</c:f>
              <c:strCache>
                <c:ptCount val="7"/>
                <c:pt idx="0">
                  <c:v>Bērnu skaits, kuriem ārpusģimenes aprūpe nodrošināta citos gadījumos</c:v>
                </c:pt>
                <c:pt idx="1">
                  <c:v>Bērnu skaits, kuru vecāki ir nepilngadīgi</c:v>
                </c:pt>
                <c:pt idx="2">
                  <c:v>Bērnu skaits, kuru vecāki slimības dēļ nespēj pienācīgi aprūpēt un uzraudzīt bērnu</c:v>
                </c:pt>
                <c:pt idx="3">
                  <c:v>Bērnu skaits, kuriem ārpusģimenes aprūpe nodrošināta dēļ būtiskām domstarpībām bērna un vecāka attiecībās</c:v>
                </c:pt>
                <c:pt idx="4">
                  <c:v>Bērnu skaits, kuru vecākiem pārtrauktas vai atņemtas bērna aizgādības tiesības</c:v>
                </c:pt>
                <c:pt idx="5">
                  <c:v>Bērnu skaits, kuru vecāki miruši vai izsludināti par mirušiem</c:v>
                </c:pt>
                <c:pt idx="6">
                  <c:v>Bērnu skaits, kuru vecāki pazuduši un izsludināti meklēšanā</c:v>
                </c:pt>
              </c:strCache>
            </c:strRef>
          </c:cat>
          <c:val>
            <c:numRef>
              <c:f>Sheet1!$D$267:$D$273</c:f>
              <c:numCache>
                <c:formatCode>General</c:formatCode>
                <c:ptCount val="7"/>
                <c:pt idx="0">
                  <c:v>71</c:v>
                </c:pt>
                <c:pt idx="1">
                  <c:v>68</c:v>
                </c:pt>
                <c:pt idx="2">
                  <c:v>37</c:v>
                </c:pt>
                <c:pt idx="3">
                  <c:v>4</c:v>
                </c:pt>
                <c:pt idx="4">
                  <c:v>1152</c:v>
                </c:pt>
                <c:pt idx="5">
                  <c:v>69</c:v>
                </c:pt>
                <c:pt idx="6">
                  <c:v>1</c:v>
                </c:pt>
              </c:numCache>
            </c:numRef>
          </c:val>
        </c:ser>
        <c:dLbls>
          <c:showLegendKey val="0"/>
          <c:showVal val="0"/>
          <c:showCatName val="0"/>
          <c:showSerName val="0"/>
          <c:showPercent val="0"/>
          <c:showBubbleSize val="0"/>
        </c:dLbls>
        <c:gapWidth val="182"/>
        <c:axId val="499902360"/>
        <c:axId val="445578128"/>
      </c:barChart>
      <c:catAx>
        <c:axId val="4999023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45578128"/>
        <c:crosses val="autoZero"/>
        <c:auto val="1"/>
        <c:lblAlgn val="ctr"/>
        <c:lblOffset val="100"/>
        <c:noMultiLvlLbl val="0"/>
      </c:catAx>
      <c:valAx>
        <c:axId val="4455781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9902360"/>
        <c:crosses val="autoZero"/>
        <c:crossBetween val="between"/>
      </c:valAx>
      <c:spPr>
        <a:gradFill>
          <a:gsLst>
            <a:gs pos="0">
              <a:schemeClr val="accent2">
                <a:lumMod val="60000"/>
                <a:lumOff val="40000"/>
              </a:schemeClr>
            </a:gs>
            <a:gs pos="74000">
              <a:schemeClr val="accent2">
                <a:lumMod val="45000"/>
                <a:lumOff val="55000"/>
              </a:schemeClr>
            </a:gs>
            <a:gs pos="21238">
              <a:schemeClr val="accent4">
                <a:lumMod val="40000"/>
                <a:lumOff val="60000"/>
              </a:schemeClr>
            </a:gs>
            <a:gs pos="83000">
              <a:schemeClr val="accent4">
                <a:lumMod val="40000"/>
                <a:lumOff val="60000"/>
              </a:schemeClr>
            </a:gs>
            <a:gs pos="100000">
              <a:schemeClr val="accent2">
                <a:lumMod val="30000"/>
                <a:lumOff val="70000"/>
              </a:schemeClr>
            </a:gs>
          </a:gsLst>
          <a:lin ang="5400000" scaled="1"/>
        </a:gradFill>
        <a:ln>
          <a:noFill/>
        </a:ln>
        <a:effectLst/>
      </c:spPr>
    </c:plotArea>
    <c:plotVisOnly val="1"/>
    <c:dispBlanksAs val="gap"/>
    <c:showDLblsOverMax val="0"/>
  </c:chart>
  <c:spPr>
    <a:gradFill>
      <a:gsLst>
        <a:gs pos="0">
          <a:schemeClr val="accent1">
            <a:lumMod val="60000"/>
            <a:lumOff val="40000"/>
          </a:schemeClr>
        </a:gs>
        <a:gs pos="24000">
          <a:schemeClr val="accent2">
            <a:lumMod val="45000"/>
            <a:lumOff val="55000"/>
          </a:schemeClr>
        </a:gs>
        <a:gs pos="93000">
          <a:schemeClr val="accent1">
            <a:lumMod val="40000"/>
            <a:lumOff val="60000"/>
          </a:schemeClr>
        </a:gs>
        <a:gs pos="25000">
          <a:schemeClr val="accent2">
            <a:lumMod val="30000"/>
            <a:lumOff val="70000"/>
          </a:schemeClr>
        </a:gs>
      </a:gsLst>
      <a:lin ang="5400000" scaled="1"/>
    </a:gradFill>
    <a:ln w="9525" cap="flat" cmpd="sng" algn="ctr">
      <a:solidFill>
        <a:schemeClr val="tx1">
          <a:lumMod val="65000"/>
          <a:lumOff val="3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b="1" baseline="0">
                <a:solidFill>
                  <a:sysClr val="windowText" lastClr="000000"/>
                </a:solidFill>
              </a:rPr>
              <a:t>Personu skaits, par kurām bāriņtiesa pieņēmusi lēmumu par personisku attiecību un tiešu kontaktu uzturēšanas tiesību ierobežošanu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spPr>
            <a:solidFill>
              <a:srgbClr val="0070C0"/>
            </a:solidFill>
            <a:ln w="19050">
              <a:solidFill>
                <a:schemeClr val="lt1"/>
              </a:solidFill>
            </a:ln>
            <a:effectLst/>
          </c:spPr>
          <c:invertIfNegative val="0"/>
          <c:dPt>
            <c:idx val="0"/>
            <c:invertIfNegative val="0"/>
            <c:bubble3D val="0"/>
            <c:spPr>
              <a:solidFill>
                <a:schemeClr val="accent4">
                  <a:lumMod val="60000"/>
                  <a:lumOff val="40000"/>
                </a:schemeClr>
              </a:solidFill>
              <a:ln w="19050">
                <a:solidFill>
                  <a:schemeClr val="lt1"/>
                </a:solidFill>
              </a:ln>
              <a:effectLst/>
            </c:spPr>
          </c:dPt>
          <c:dPt>
            <c:idx val="1"/>
            <c:invertIfNegative val="0"/>
            <c:bubble3D val="0"/>
            <c:spPr>
              <a:solidFill>
                <a:srgbClr val="00B050"/>
              </a:solidFill>
              <a:ln w="19050">
                <a:solidFill>
                  <a:schemeClr val="lt1"/>
                </a:solidFill>
              </a:ln>
              <a:effectLst/>
            </c:spPr>
          </c:dPt>
          <c:dPt>
            <c:idx val="2"/>
            <c:invertIfNegative val="0"/>
            <c:bubble3D val="0"/>
            <c:spPr>
              <a:solidFill>
                <a:srgbClr val="0070C0"/>
              </a:solidFill>
              <a:ln w="19050">
                <a:solidFill>
                  <a:schemeClr val="lt1"/>
                </a:solidFill>
              </a:ln>
              <a:effectLst/>
            </c:spPr>
          </c:dPt>
          <c:dLbls>
            <c:dLbl>
              <c:idx val="0"/>
              <c:layout>
                <c:manualLayout>
                  <c:x val="-3.0303030303030303E-3"/>
                  <c:y val="-0.22222222222222227"/>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5.5554913780450882E-17"/>
                  <c:y val="-0.20370370370370369"/>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0303030303030303E-3"/>
                  <c:y val="-5.555555555555555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Sheet1!$C$257:$C$259</c:f>
              <c:strCache>
                <c:ptCount val="3"/>
                <c:pt idx="0">
                  <c:v>Par mātēm</c:v>
                </c:pt>
                <c:pt idx="1">
                  <c:v>Par tēviem</c:v>
                </c:pt>
                <c:pt idx="2">
                  <c:v>Par citām personām, ar kurām bērns ilgu laiku dzīvojis nedalītā saimniecībā</c:v>
                </c:pt>
              </c:strCache>
            </c:strRef>
          </c:cat>
          <c:val>
            <c:numRef>
              <c:f>Sheet1!$D$257:$D$259</c:f>
              <c:numCache>
                <c:formatCode>General</c:formatCode>
                <c:ptCount val="3"/>
                <c:pt idx="0">
                  <c:v>14</c:v>
                </c:pt>
                <c:pt idx="1">
                  <c:v>12</c:v>
                </c:pt>
                <c:pt idx="2">
                  <c:v>1</c:v>
                </c:pt>
              </c:numCache>
            </c:numRef>
          </c:val>
        </c:ser>
        <c:dLbls>
          <c:showLegendKey val="0"/>
          <c:showVal val="0"/>
          <c:showCatName val="0"/>
          <c:showSerName val="0"/>
          <c:showPercent val="0"/>
          <c:showBubbleSize val="0"/>
        </c:dLbls>
        <c:gapWidth val="100"/>
        <c:overlap val="100"/>
        <c:axId val="445578912"/>
        <c:axId val="445580088"/>
      </c:barChart>
      <c:catAx>
        <c:axId val="4455789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45580088"/>
        <c:crosses val="autoZero"/>
        <c:auto val="1"/>
        <c:lblAlgn val="ctr"/>
        <c:lblOffset val="100"/>
        <c:noMultiLvlLbl val="0"/>
      </c:catAx>
      <c:valAx>
        <c:axId val="445580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5578912"/>
        <c:crosses val="autoZero"/>
        <c:crossBetween val="between"/>
      </c:valAx>
      <c:spPr>
        <a:noFill/>
        <a:ln>
          <a:noFill/>
        </a:ln>
        <a:effectLst/>
      </c:spPr>
    </c:plotArea>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15875" cap="flat" cmpd="sng" algn="ctr">
      <a:solidFill>
        <a:schemeClr val="tx1">
          <a:lumMod val="50000"/>
          <a:lumOff val="50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0" i="0" u="none" strike="noStrike" kern="1200" spc="0" baseline="0">
                <a:solidFill>
                  <a:schemeClr val="tx1">
                    <a:lumMod val="65000"/>
                    <a:lumOff val="35000"/>
                  </a:schemeClr>
                </a:solidFill>
                <a:latin typeface="+mn-lt"/>
                <a:ea typeface="+mn-ea"/>
                <a:cs typeface="+mn-cs"/>
              </a:defRPr>
            </a:pPr>
            <a:r>
              <a:rPr lang="lv-LV" sz="1300" b="1" i="0" baseline="0">
                <a:solidFill>
                  <a:sysClr val="windowText" lastClr="000000"/>
                </a:solidFill>
              </a:rPr>
              <a:t>Ārpusģimenes aprūpē esošie bērni, par kuriem bāriņtiesa pieņēmusi lēmumu par atļauju bērnam uzturēties pie vecākiem vai citām personām</a:t>
            </a:r>
          </a:p>
        </c:rich>
      </c:tx>
      <c:overlay val="0"/>
      <c:spPr>
        <a:noFill/>
        <a:ln>
          <a:noFill/>
        </a:ln>
        <a:effectLst/>
      </c:spPr>
      <c:txPr>
        <a:bodyPr rot="0" spcFirstLastPara="1" vertOverflow="ellipsis" vert="horz" wrap="square" anchor="ctr" anchorCtr="1"/>
        <a:lstStyle/>
        <a:p>
          <a:pPr>
            <a:defRPr sz="13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rgbClr val="33CC33"/>
              </a:solidFill>
              <a:ln>
                <a:noFill/>
              </a:ln>
              <a:effectLst/>
            </c:spPr>
          </c:dPt>
          <c:dPt>
            <c:idx val="1"/>
            <c:invertIfNegative val="0"/>
            <c:bubble3D val="0"/>
            <c:spPr>
              <a:solidFill>
                <a:srgbClr val="FF6699"/>
              </a:solidFill>
              <a:ln>
                <a:noFill/>
              </a:ln>
              <a:effectLst/>
            </c:spPr>
          </c:dPt>
          <c:dPt>
            <c:idx val="2"/>
            <c:invertIfNegative val="0"/>
            <c:bubble3D val="0"/>
            <c:spPr>
              <a:solidFill>
                <a:srgbClr val="0070C0"/>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Sheet1!$C$262:$C$264</c:f>
              <c:strCache>
                <c:ptCount val="3"/>
                <c:pt idx="0">
                  <c:v>Bērnu skaits, kuriem atļauts uzturēties pie vecākiem</c:v>
                </c:pt>
                <c:pt idx="1">
                  <c:v>Bērnu skaits, kuriem atļauts uzturēties pie citiem tuviem radiniekiem</c:v>
                </c:pt>
                <c:pt idx="2">
                  <c:v>Bērnu skaits, kuriem atļauts uzturēties pie personām, ar kurām bērns ilgu laiku dzīvojis nedalītā saimniecībā</c:v>
                </c:pt>
              </c:strCache>
            </c:strRef>
          </c:cat>
          <c:val>
            <c:numRef>
              <c:f>Sheet1!$D$262:$D$264</c:f>
              <c:numCache>
                <c:formatCode>General</c:formatCode>
                <c:ptCount val="3"/>
                <c:pt idx="0">
                  <c:v>329</c:v>
                </c:pt>
                <c:pt idx="1">
                  <c:v>84</c:v>
                </c:pt>
                <c:pt idx="2">
                  <c:v>8</c:v>
                </c:pt>
              </c:numCache>
            </c:numRef>
          </c:val>
        </c:ser>
        <c:dLbls>
          <c:showLegendKey val="0"/>
          <c:showVal val="0"/>
          <c:showCatName val="0"/>
          <c:showSerName val="0"/>
          <c:showPercent val="0"/>
          <c:showBubbleSize val="0"/>
        </c:dLbls>
        <c:gapWidth val="182"/>
        <c:axId val="445580872"/>
        <c:axId val="445579304"/>
      </c:barChart>
      <c:catAx>
        <c:axId val="44558087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445579304"/>
        <c:crosses val="autoZero"/>
        <c:auto val="1"/>
        <c:lblAlgn val="ctr"/>
        <c:lblOffset val="100"/>
        <c:noMultiLvlLbl val="0"/>
      </c:catAx>
      <c:valAx>
        <c:axId val="445579304"/>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5580872"/>
        <c:crosses val="autoZero"/>
        <c:crossBetween val="between"/>
      </c:valAx>
      <c:spPr>
        <a:noFill/>
        <a:ln>
          <a:noFill/>
        </a:ln>
        <a:effectLst/>
      </c:spPr>
    </c:plotArea>
    <c:plotVisOnly val="1"/>
    <c:dispBlanksAs val="gap"/>
    <c:showDLblsOverMax val="0"/>
  </c:chart>
  <c:spPr>
    <a:gradFill>
      <a:gsLst>
        <a:gs pos="0">
          <a:srgbClr val="ECFB5B"/>
        </a:gs>
        <a:gs pos="74000">
          <a:schemeClr val="accent4">
            <a:lumMod val="40000"/>
            <a:lumOff val="60000"/>
          </a:schemeClr>
        </a:gs>
        <a:gs pos="83000">
          <a:schemeClr val="accent4">
            <a:lumMod val="20000"/>
            <a:lumOff val="80000"/>
          </a:schemeClr>
        </a:gs>
        <a:gs pos="100000">
          <a:schemeClr val="accent4">
            <a:lumMod val="20000"/>
            <a:lumOff val="80000"/>
          </a:schemeClr>
        </a:gs>
      </a:gsLst>
      <a:lin ang="5400000" scaled="1"/>
    </a:gradFill>
    <a:ln w="15875" cap="flat" cmpd="sng" algn="ctr">
      <a:solidFill>
        <a:schemeClr val="tx1">
          <a:lumMod val="50000"/>
          <a:lumOff val="50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85000"/>
                    <a:lumOff val="15000"/>
                  </a:schemeClr>
                </a:solidFill>
                <a:latin typeface="+mn-lt"/>
                <a:ea typeface="+mn-ea"/>
                <a:cs typeface="+mn-cs"/>
              </a:defRPr>
            </a:pPr>
            <a:r>
              <a:rPr lang="lv-LV" b="1" baseline="0">
                <a:solidFill>
                  <a:schemeClr val="tx1">
                    <a:lumMod val="85000"/>
                    <a:lumOff val="15000"/>
                  </a:schemeClr>
                </a:solidFill>
              </a:rPr>
              <a:t>Pārskats par kopējo aizbildņu skaitu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85000"/>
                  <a:lumOff val="1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Sheet1!$D$3</c:f>
              <c:strCache>
                <c:ptCount val="1"/>
                <c:pt idx="0">
                  <c:v>2012</c:v>
                </c:pt>
              </c:strCache>
            </c:strRef>
          </c:tx>
          <c:spPr>
            <a:solidFill>
              <a:srgbClr val="FF3300"/>
            </a:solidFill>
            <a:ln>
              <a:noFill/>
            </a:ln>
            <a:effectLst/>
          </c:spPr>
          <c:invertIfNegative val="0"/>
          <c:dLbls>
            <c:dLbl>
              <c:idx val="1"/>
              <c:layout>
                <c:manualLayout>
                  <c:x val="8.3333333333332309E-3"/>
                  <c:y val="3.3877472632994048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5187220302498158E-3"/>
                  <c:y val="5.9853900376274768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Sheet1!$A$4:$A$7</c:f>
              <c:strCache>
                <c:ptCount val="4"/>
                <c:pt idx="0">
                  <c:v>Aizbildņu kopējais skaits</c:v>
                </c:pt>
                <c:pt idx="1">
                  <c:v>Aizbildņu skaits, kuri ir bērna vecvecāki</c:v>
                </c:pt>
                <c:pt idx="2">
                  <c:v>Aizbildņu skaits, kuri ir citi bērna radinieki</c:v>
                </c:pt>
                <c:pt idx="3">
                  <c:v>Citu personu skaits, kuras ieceltas par aizbildni bērnam</c:v>
                </c:pt>
              </c:strCache>
            </c:strRef>
          </c:cat>
          <c:val>
            <c:numRef>
              <c:f>Sheet1!$D$4:$D$7</c:f>
              <c:numCache>
                <c:formatCode>General</c:formatCode>
                <c:ptCount val="4"/>
                <c:pt idx="0">
                  <c:v>4083</c:v>
                </c:pt>
                <c:pt idx="1">
                  <c:v>2036</c:v>
                </c:pt>
                <c:pt idx="2">
                  <c:v>972</c:v>
                </c:pt>
                <c:pt idx="3">
                  <c:v>1075</c:v>
                </c:pt>
              </c:numCache>
            </c:numRef>
          </c:val>
        </c:ser>
        <c:ser>
          <c:idx val="1"/>
          <c:order val="1"/>
          <c:tx>
            <c:strRef>
              <c:f>Sheet1!$E$3</c:f>
              <c:strCache>
                <c:ptCount val="1"/>
                <c:pt idx="0">
                  <c:v>2013</c:v>
                </c:pt>
              </c:strCache>
            </c:strRef>
          </c:tx>
          <c:spPr>
            <a:solidFill>
              <a:srgbClr val="7030A0"/>
            </a:solidFill>
            <a:ln>
              <a:noFill/>
            </a:ln>
            <a:effectLst/>
          </c:spPr>
          <c:invertIfNegative val="0"/>
          <c:dLbls>
            <c:dLbl>
              <c:idx val="1"/>
              <c:layout>
                <c:manualLayout>
                  <c:x val="0"/>
                  <c:y val="2.8451728086834672E-7"/>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1230952246077243E-2"/>
                  <c:y val="7.5027206964983035E-4"/>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Sheet1!$A$4:$A$7</c:f>
              <c:strCache>
                <c:ptCount val="4"/>
                <c:pt idx="0">
                  <c:v>Aizbildņu kopējais skaits</c:v>
                </c:pt>
                <c:pt idx="1">
                  <c:v>Aizbildņu skaits, kuri ir bērna vecvecāki</c:v>
                </c:pt>
                <c:pt idx="2">
                  <c:v>Aizbildņu skaits, kuri ir citi bērna radinieki</c:v>
                </c:pt>
                <c:pt idx="3">
                  <c:v>Citu personu skaits, kuras ieceltas par aizbildni bērnam</c:v>
                </c:pt>
              </c:strCache>
            </c:strRef>
          </c:cat>
          <c:val>
            <c:numRef>
              <c:f>Sheet1!$E$4:$E$7</c:f>
              <c:numCache>
                <c:formatCode>General</c:formatCode>
                <c:ptCount val="4"/>
                <c:pt idx="0">
                  <c:v>4132</c:v>
                </c:pt>
                <c:pt idx="1">
                  <c:v>2129</c:v>
                </c:pt>
                <c:pt idx="2">
                  <c:v>1024</c:v>
                </c:pt>
                <c:pt idx="3">
                  <c:v>979</c:v>
                </c:pt>
              </c:numCache>
            </c:numRef>
          </c:val>
        </c:ser>
        <c:ser>
          <c:idx val="2"/>
          <c:order val="2"/>
          <c:tx>
            <c:strRef>
              <c:f>Sheet1!$F$3</c:f>
              <c:strCache>
                <c:ptCount val="1"/>
                <c:pt idx="0">
                  <c:v>2014</c:v>
                </c:pt>
              </c:strCache>
            </c:strRef>
          </c:tx>
          <c:spPr>
            <a:solidFill>
              <a:srgbClr val="00666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Sheet1!$A$4:$A$7</c:f>
              <c:strCache>
                <c:ptCount val="4"/>
                <c:pt idx="0">
                  <c:v>Aizbildņu kopējais skaits</c:v>
                </c:pt>
                <c:pt idx="1">
                  <c:v>Aizbildņu skaits, kuri ir bērna vecvecāki</c:v>
                </c:pt>
                <c:pt idx="2">
                  <c:v>Aizbildņu skaits, kuri ir citi bērna radinieki</c:v>
                </c:pt>
                <c:pt idx="3">
                  <c:v>Citu personu skaits, kuras ieceltas par aizbildni bērnam</c:v>
                </c:pt>
              </c:strCache>
            </c:strRef>
          </c:cat>
          <c:val>
            <c:numRef>
              <c:f>Sheet1!$F$4:$F$7</c:f>
              <c:numCache>
                <c:formatCode>General</c:formatCode>
                <c:ptCount val="4"/>
                <c:pt idx="0">
                  <c:v>3993</c:v>
                </c:pt>
                <c:pt idx="1">
                  <c:v>2038</c:v>
                </c:pt>
                <c:pt idx="2">
                  <c:v>1047</c:v>
                </c:pt>
                <c:pt idx="3">
                  <c:v>908</c:v>
                </c:pt>
              </c:numCache>
            </c:numRef>
          </c:val>
        </c:ser>
        <c:ser>
          <c:idx val="3"/>
          <c:order val="3"/>
          <c:tx>
            <c:strRef>
              <c:f>Sheet1!$G$3</c:f>
              <c:strCache>
                <c:ptCount val="1"/>
              </c:strCache>
            </c:strRef>
          </c:tx>
          <c:spPr>
            <a:solidFill>
              <a:schemeClr val="accent4"/>
            </a:solidFill>
            <a:ln>
              <a:noFill/>
            </a:ln>
            <a:effectLst/>
          </c:spPr>
          <c:invertIfNegative val="0"/>
          <c:cat>
            <c:strRef>
              <c:f>Sheet1!$A$4:$A$7</c:f>
              <c:strCache>
                <c:ptCount val="4"/>
                <c:pt idx="0">
                  <c:v>Aizbildņu kopējais skaits</c:v>
                </c:pt>
                <c:pt idx="1">
                  <c:v>Aizbildņu skaits, kuri ir bērna vecvecāki</c:v>
                </c:pt>
                <c:pt idx="2">
                  <c:v>Aizbildņu skaits, kuri ir citi bērna radinieki</c:v>
                </c:pt>
                <c:pt idx="3">
                  <c:v>Citu personu skaits, kuras ieceltas par aizbildni bērnam</c:v>
                </c:pt>
              </c:strCache>
            </c:strRef>
          </c:cat>
          <c:val>
            <c:numRef>
              <c:f>Sheet1!$G$4:$G$7</c:f>
            </c:numRef>
          </c:val>
        </c:ser>
        <c:ser>
          <c:idx val="4"/>
          <c:order val="4"/>
          <c:tx>
            <c:strRef>
              <c:f>Sheet1!$H$3</c:f>
              <c:strCache>
                <c:ptCount val="1"/>
              </c:strCache>
            </c:strRef>
          </c:tx>
          <c:spPr>
            <a:solidFill>
              <a:schemeClr val="accent5"/>
            </a:solidFill>
            <a:ln>
              <a:noFill/>
            </a:ln>
            <a:effectLst/>
          </c:spPr>
          <c:invertIfNegative val="0"/>
          <c:cat>
            <c:strRef>
              <c:f>Sheet1!$A$4:$A$7</c:f>
              <c:strCache>
                <c:ptCount val="4"/>
                <c:pt idx="0">
                  <c:v>Aizbildņu kopējais skaits</c:v>
                </c:pt>
                <c:pt idx="1">
                  <c:v>Aizbildņu skaits, kuri ir bērna vecvecāki</c:v>
                </c:pt>
                <c:pt idx="2">
                  <c:v>Aizbildņu skaits, kuri ir citi bērna radinieki</c:v>
                </c:pt>
                <c:pt idx="3">
                  <c:v>Citu personu skaits, kuras ieceltas par aizbildni bērnam</c:v>
                </c:pt>
              </c:strCache>
            </c:strRef>
          </c:cat>
          <c:val>
            <c:numRef>
              <c:f>Sheet1!$H$4:$H$7</c:f>
            </c:numRef>
          </c:val>
        </c:ser>
        <c:ser>
          <c:idx val="5"/>
          <c:order val="5"/>
          <c:tx>
            <c:strRef>
              <c:f>Sheet1!$I$3</c:f>
              <c:strCache>
                <c:ptCount val="1"/>
              </c:strCache>
            </c:strRef>
          </c:tx>
          <c:spPr>
            <a:solidFill>
              <a:schemeClr val="accent6"/>
            </a:solidFill>
            <a:ln>
              <a:noFill/>
            </a:ln>
            <a:effectLst/>
          </c:spPr>
          <c:invertIfNegative val="0"/>
          <c:cat>
            <c:strRef>
              <c:f>Sheet1!$A$4:$A$7</c:f>
              <c:strCache>
                <c:ptCount val="4"/>
                <c:pt idx="0">
                  <c:v>Aizbildņu kopējais skaits</c:v>
                </c:pt>
                <c:pt idx="1">
                  <c:v>Aizbildņu skaits, kuri ir bērna vecvecāki</c:v>
                </c:pt>
                <c:pt idx="2">
                  <c:v>Aizbildņu skaits, kuri ir citi bērna radinieki</c:v>
                </c:pt>
                <c:pt idx="3">
                  <c:v>Citu personu skaits, kuras ieceltas par aizbildni bērnam</c:v>
                </c:pt>
              </c:strCache>
            </c:strRef>
          </c:cat>
          <c:val>
            <c:numRef>
              <c:f>Sheet1!$I$4:$I$7</c:f>
            </c:numRef>
          </c:val>
        </c:ser>
        <c:ser>
          <c:idx val="6"/>
          <c:order val="6"/>
          <c:tx>
            <c:strRef>
              <c:f>Sheet1!$J$3</c:f>
              <c:strCache>
                <c:ptCount val="1"/>
              </c:strCache>
            </c:strRef>
          </c:tx>
          <c:spPr>
            <a:solidFill>
              <a:schemeClr val="accent1">
                <a:lumMod val="60000"/>
              </a:schemeClr>
            </a:solidFill>
            <a:ln>
              <a:noFill/>
            </a:ln>
            <a:effectLst/>
          </c:spPr>
          <c:invertIfNegative val="0"/>
          <c:cat>
            <c:strRef>
              <c:f>Sheet1!$A$4:$A$7</c:f>
              <c:strCache>
                <c:ptCount val="4"/>
                <c:pt idx="0">
                  <c:v>Aizbildņu kopējais skaits</c:v>
                </c:pt>
                <c:pt idx="1">
                  <c:v>Aizbildņu skaits, kuri ir bērna vecvecāki</c:v>
                </c:pt>
                <c:pt idx="2">
                  <c:v>Aizbildņu skaits, kuri ir citi bērna radinieki</c:v>
                </c:pt>
                <c:pt idx="3">
                  <c:v>Citu personu skaits, kuras ieceltas par aizbildni bērnam</c:v>
                </c:pt>
              </c:strCache>
            </c:strRef>
          </c:cat>
          <c:val>
            <c:numRef>
              <c:f>Sheet1!$J$4:$J$7</c:f>
            </c:numRef>
          </c:val>
        </c:ser>
        <c:ser>
          <c:idx val="7"/>
          <c:order val="7"/>
          <c:tx>
            <c:strRef>
              <c:f>Sheet1!$K$3</c:f>
              <c:strCache>
                <c:ptCount val="1"/>
              </c:strCache>
            </c:strRef>
          </c:tx>
          <c:spPr>
            <a:solidFill>
              <a:schemeClr val="accent2">
                <a:lumMod val="60000"/>
              </a:schemeClr>
            </a:solidFill>
            <a:ln>
              <a:noFill/>
            </a:ln>
            <a:effectLst/>
          </c:spPr>
          <c:invertIfNegative val="0"/>
          <c:cat>
            <c:strRef>
              <c:f>Sheet1!$A$4:$A$7</c:f>
              <c:strCache>
                <c:ptCount val="4"/>
                <c:pt idx="0">
                  <c:v>Aizbildņu kopējais skaits</c:v>
                </c:pt>
                <c:pt idx="1">
                  <c:v>Aizbildņu skaits, kuri ir bērna vecvecāki</c:v>
                </c:pt>
                <c:pt idx="2">
                  <c:v>Aizbildņu skaits, kuri ir citi bērna radinieki</c:v>
                </c:pt>
                <c:pt idx="3">
                  <c:v>Citu personu skaits, kuras ieceltas par aizbildni bērnam</c:v>
                </c:pt>
              </c:strCache>
            </c:strRef>
          </c:cat>
          <c:val>
            <c:numRef>
              <c:f>Sheet1!$K$4:$K$7</c:f>
            </c:numRef>
          </c:val>
        </c:ser>
        <c:ser>
          <c:idx val="8"/>
          <c:order val="8"/>
          <c:tx>
            <c:strRef>
              <c:f>Sheet1!$L$3</c:f>
              <c:strCache>
                <c:ptCount val="1"/>
                <c:pt idx="0">
                  <c:v>2015</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Sheet1!$A$4:$A$7</c:f>
              <c:strCache>
                <c:ptCount val="4"/>
                <c:pt idx="0">
                  <c:v>Aizbildņu kopējais skaits</c:v>
                </c:pt>
                <c:pt idx="1">
                  <c:v>Aizbildņu skaits, kuri ir bērna vecvecāki</c:v>
                </c:pt>
                <c:pt idx="2">
                  <c:v>Aizbildņu skaits, kuri ir citi bērna radinieki</c:v>
                </c:pt>
                <c:pt idx="3">
                  <c:v>Citu personu skaits, kuras ieceltas par aizbildni bērnam</c:v>
                </c:pt>
              </c:strCache>
            </c:strRef>
          </c:cat>
          <c:val>
            <c:numRef>
              <c:f>Sheet1!$L$4:$L$7</c:f>
              <c:numCache>
                <c:formatCode>General</c:formatCode>
                <c:ptCount val="4"/>
                <c:pt idx="0">
                  <c:v>3757</c:v>
                </c:pt>
                <c:pt idx="1">
                  <c:v>1913</c:v>
                </c:pt>
                <c:pt idx="2">
                  <c:v>975</c:v>
                </c:pt>
                <c:pt idx="3">
                  <c:v>869</c:v>
                </c:pt>
              </c:numCache>
            </c:numRef>
          </c:val>
        </c:ser>
        <c:dLbls>
          <c:showLegendKey val="0"/>
          <c:showVal val="0"/>
          <c:showCatName val="0"/>
          <c:showSerName val="0"/>
          <c:showPercent val="0"/>
          <c:showBubbleSize val="0"/>
        </c:dLbls>
        <c:gapWidth val="219"/>
        <c:axId val="331779304"/>
        <c:axId val="331776952"/>
        <c:extLst/>
      </c:barChart>
      <c:catAx>
        <c:axId val="3317793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31776952"/>
        <c:crosses val="autoZero"/>
        <c:auto val="1"/>
        <c:lblAlgn val="ctr"/>
        <c:lblOffset val="100"/>
        <c:noMultiLvlLbl val="0"/>
      </c:catAx>
      <c:valAx>
        <c:axId val="331776952"/>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177930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gradFill>
      <a:gsLst>
        <a:gs pos="0">
          <a:srgbClr val="ECBB08"/>
        </a:gs>
        <a:gs pos="100000">
          <a:schemeClr val="accent6"/>
        </a:gs>
        <a:gs pos="65000">
          <a:schemeClr val="accent1">
            <a:lumMod val="45000"/>
            <a:lumOff val="55000"/>
          </a:schemeClr>
        </a:gs>
        <a:gs pos="87000">
          <a:schemeClr val="accent6"/>
        </a:gs>
      </a:gsLst>
      <a:lin ang="5400000" scaled="1"/>
    </a:gradFill>
    <a:ln w="15875" cap="flat" cmpd="sng" algn="ctr">
      <a:solidFill>
        <a:schemeClr val="tx1">
          <a:lumMod val="65000"/>
          <a:lumOff val="3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solidFill>
                  <a:sysClr val="windowText" lastClr="000000"/>
                </a:solidFill>
              </a:rPr>
              <a:t>Aizbildņu</a:t>
            </a:r>
            <a:r>
              <a:rPr lang="lv-LV" b="1" baseline="0">
                <a:solidFill>
                  <a:sysClr val="windowText" lastClr="000000"/>
                </a:solidFill>
              </a:rPr>
              <a:t> un aizbilstamo skaits pārskata gadā</a:t>
            </a:r>
            <a:endParaRPr lang="en-GB"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Sheet1!$C$83</c:f>
              <c:strCache>
                <c:ptCount val="1"/>
                <c:pt idx="0">
                  <c:v>2012</c:v>
                </c:pt>
              </c:strCache>
            </c:strRef>
          </c:tx>
          <c:spPr>
            <a:solidFill>
              <a:srgbClr val="AF461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Sheet1!$B$84:$B$88</c:f>
              <c:strCache>
                <c:ptCount val="5"/>
                <c:pt idx="0">
                  <c:v>Personu skaits, kuras ieceltas par aizbildni</c:v>
                </c:pt>
                <c:pt idx="1">
                  <c:v>Aizbildņu skaits, kuri ir bērna vecvecāki</c:v>
                </c:pt>
                <c:pt idx="2">
                  <c:v>Aizbildņu skaits, kuri ir citi bērna radinieki</c:v>
                </c:pt>
                <c:pt idx="3">
                  <c:v>Citu personu skaits, kuras ieceltas par aizbildni</c:v>
                </c:pt>
                <c:pt idx="4">
                  <c:v>Bērnu skaits, kuriem aizbildnis iecelts pirmreizēji</c:v>
                </c:pt>
              </c:strCache>
            </c:strRef>
          </c:cat>
          <c:val>
            <c:numRef>
              <c:f>Sheet1!$C$84:$C$88</c:f>
              <c:numCache>
                <c:formatCode>General</c:formatCode>
                <c:ptCount val="5"/>
                <c:pt idx="0">
                  <c:v>668</c:v>
                </c:pt>
                <c:pt idx="1">
                  <c:v>341</c:v>
                </c:pt>
                <c:pt idx="2">
                  <c:v>193</c:v>
                </c:pt>
                <c:pt idx="3">
                  <c:v>134</c:v>
                </c:pt>
                <c:pt idx="4">
                  <c:v>843</c:v>
                </c:pt>
              </c:numCache>
            </c:numRef>
          </c:val>
        </c:ser>
        <c:ser>
          <c:idx val="1"/>
          <c:order val="1"/>
          <c:tx>
            <c:strRef>
              <c:f>Sheet1!$D$83</c:f>
              <c:strCache>
                <c:ptCount val="1"/>
                <c:pt idx="0">
                  <c:v>2013</c:v>
                </c:pt>
              </c:strCache>
            </c:strRef>
          </c:tx>
          <c:spPr>
            <a:solidFill>
              <a:srgbClr val="0070C0"/>
            </a:solidFill>
            <a:ln>
              <a:noFill/>
            </a:ln>
            <a:effectLst/>
          </c:spPr>
          <c:invertIfNegative val="0"/>
          <c:dLbls>
            <c:dLbl>
              <c:idx val="0"/>
              <c:layout>
                <c:manualLayout>
                  <c:x val="5.5555555555555558E-3"/>
                  <c:y val="-2.777777777777777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5.0925337632079971E-17"/>
                  <c:y val="-4.1666666666666706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5.5555555555555558E-3"/>
                  <c:y val="-5.092592592592592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5555555555554534E-3"/>
                  <c:y val="-7.407407407407407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8.3333333333333332E-3"/>
                  <c:y val="-4.166666666666666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Sheet1!$B$84:$B$88</c:f>
              <c:strCache>
                <c:ptCount val="5"/>
                <c:pt idx="0">
                  <c:v>Personu skaits, kuras ieceltas par aizbildni</c:v>
                </c:pt>
                <c:pt idx="1">
                  <c:v>Aizbildņu skaits, kuri ir bērna vecvecāki</c:v>
                </c:pt>
                <c:pt idx="2">
                  <c:v>Aizbildņu skaits, kuri ir citi bērna radinieki</c:v>
                </c:pt>
                <c:pt idx="3">
                  <c:v>Citu personu skaits, kuras ieceltas par aizbildni</c:v>
                </c:pt>
                <c:pt idx="4">
                  <c:v>Bērnu skaits, kuriem aizbildnis iecelts pirmreizēji</c:v>
                </c:pt>
              </c:strCache>
            </c:strRef>
          </c:cat>
          <c:val>
            <c:numRef>
              <c:f>Sheet1!$D$84:$D$88</c:f>
              <c:numCache>
                <c:formatCode>General</c:formatCode>
                <c:ptCount val="5"/>
                <c:pt idx="0">
                  <c:v>676</c:v>
                </c:pt>
                <c:pt idx="1">
                  <c:v>336</c:v>
                </c:pt>
                <c:pt idx="2">
                  <c:v>207</c:v>
                </c:pt>
                <c:pt idx="3">
                  <c:v>133</c:v>
                </c:pt>
                <c:pt idx="4">
                  <c:v>804</c:v>
                </c:pt>
              </c:numCache>
            </c:numRef>
          </c:val>
        </c:ser>
        <c:ser>
          <c:idx val="2"/>
          <c:order val="2"/>
          <c:tx>
            <c:strRef>
              <c:f>Sheet1!$E$83</c:f>
              <c:strCache>
                <c:ptCount val="1"/>
                <c:pt idx="0">
                  <c:v>2014</c:v>
                </c:pt>
              </c:strCache>
            </c:strRef>
          </c:tx>
          <c:spPr>
            <a:solidFill>
              <a:schemeClr val="accent2">
                <a:lumMod val="50000"/>
              </a:schemeClr>
            </a:solidFill>
            <a:ln>
              <a:noFill/>
            </a:ln>
            <a:effectLst/>
          </c:spPr>
          <c:invertIfNegative val="0"/>
          <c:dLbls>
            <c:dLbl>
              <c:idx val="3"/>
              <c:layout>
                <c:manualLayout>
                  <c:x val="-5.5555555555555558E-3"/>
                  <c:y val="9.2592592592592587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Sheet1!$B$84:$B$88</c:f>
              <c:strCache>
                <c:ptCount val="5"/>
                <c:pt idx="0">
                  <c:v>Personu skaits, kuras ieceltas par aizbildni</c:v>
                </c:pt>
                <c:pt idx="1">
                  <c:v>Aizbildņu skaits, kuri ir bērna vecvecāki</c:v>
                </c:pt>
                <c:pt idx="2">
                  <c:v>Aizbildņu skaits, kuri ir citi bērna radinieki</c:v>
                </c:pt>
                <c:pt idx="3">
                  <c:v>Citu personu skaits, kuras ieceltas par aizbildni</c:v>
                </c:pt>
                <c:pt idx="4">
                  <c:v>Bērnu skaits, kuriem aizbildnis iecelts pirmreizēji</c:v>
                </c:pt>
              </c:strCache>
            </c:strRef>
          </c:cat>
          <c:val>
            <c:numRef>
              <c:f>Sheet1!$E$84:$E$88</c:f>
              <c:numCache>
                <c:formatCode>General</c:formatCode>
                <c:ptCount val="5"/>
                <c:pt idx="0">
                  <c:v>579</c:v>
                </c:pt>
                <c:pt idx="1">
                  <c:v>312</c:v>
                </c:pt>
                <c:pt idx="2">
                  <c:v>160</c:v>
                </c:pt>
                <c:pt idx="3">
                  <c:v>107</c:v>
                </c:pt>
                <c:pt idx="4">
                  <c:v>722</c:v>
                </c:pt>
              </c:numCache>
            </c:numRef>
          </c:val>
        </c:ser>
        <c:ser>
          <c:idx val="3"/>
          <c:order val="3"/>
          <c:tx>
            <c:strRef>
              <c:f>Sheet1!$F$83</c:f>
              <c:strCache>
                <c:ptCount val="1"/>
                <c:pt idx="0">
                  <c:v>2015</c:v>
                </c:pt>
              </c:strCache>
            </c:strRef>
          </c:tx>
          <c:spPr>
            <a:solidFill>
              <a:schemeClr val="accent4"/>
            </a:solidFill>
            <a:ln>
              <a:noFill/>
            </a:ln>
            <a:effectLst/>
          </c:spPr>
          <c:invertIfNegative val="0"/>
          <c:dLbls>
            <c:dLbl>
              <c:idx val="2"/>
              <c:layout>
                <c:manualLayout>
                  <c:x val="1.1111111111111112E-2"/>
                  <c:y val="-3.703703703703703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Sheet1!$B$84:$B$88</c:f>
              <c:strCache>
                <c:ptCount val="5"/>
                <c:pt idx="0">
                  <c:v>Personu skaits, kuras ieceltas par aizbildni</c:v>
                </c:pt>
                <c:pt idx="1">
                  <c:v>Aizbildņu skaits, kuri ir bērna vecvecāki</c:v>
                </c:pt>
                <c:pt idx="2">
                  <c:v>Aizbildņu skaits, kuri ir citi bērna radinieki</c:v>
                </c:pt>
                <c:pt idx="3">
                  <c:v>Citu personu skaits, kuras ieceltas par aizbildni</c:v>
                </c:pt>
                <c:pt idx="4">
                  <c:v>Bērnu skaits, kuriem aizbildnis iecelts pirmreizēji</c:v>
                </c:pt>
              </c:strCache>
            </c:strRef>
          </c:cat>
          <c:val>
            <c:numRef>
              <c:f>Sheet1!$F$84:$F$88</c:f>
              <c:numCache>
                <c:formatCode>General</c:formatCode>
                <c:ptCount val="5"/>
                <c:pt idx="0">
                  <c:v>455</c:v>
                </c:pt>
                <c:pt idx="1">
                  <c:v>228</c:v>
                </c:pt>
                <c:pt idx="2">
                  <c:v>146</c:v>
                </c:pt>
                <c:pt idx="3">
                  <c:v>81</c:v>
                </c:pt>
                <c:pt idx="4">
                  <c:v>609</c:v>
                </c:pt>
              </c:numCache>
            </c:numRef>
          </c:val>
        </c:ser>
        <c:dLbls>
          <c:showLegendKey val="0"/>
          <c:showVal val="0"/>
          <c:showCatName val="0"/>
          <c:showSerName val="0"/>
          <c:showPercent val="0"/>
          <c:showBubbleSize val="0"/>
        </c:dLbls>
        <c:gapWidth val="219"/>
        <c:overlap val="-27"/>
        <c:axId val="331778128"/>
        <c:axId val="331781656"/>
      </c:barChart>
      <c:catAx>
        <c:axId val="331778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31781656"/>
        <c:crosses val="autoZero"/>
        <c:auto val="1"/>
        <c:lblAlgn val="ctr"/>
        <c:lblOffset val="100"/>
        <c:noMultiLvlLbl val="0"/>
      </c:catAx>
      <c:valAx>
        <c:axId val="331781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1778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15875" cap="flat" cmpd="sng" algn="ctr">
      <a:solidFill>
        <a:schemeClr val="tx1">
          <a:lumMod val="50000"/>
          <a:lumOff val="50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baseline="0">
                <a:solidFill>
                  <a:sysClr val="windowText" lastClr="000000"/>
                </a:solidFill>
              </a:rPr>
              <a:t>Atcelto aizbildņu skaits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Sheet1!$C$160</c:f>
              <c:strCache>
                <c:ptCount val="1"/>
                <c:pt idx="0">
                  <c:v>2012</c:v>
                </c:pt>
              </c:strCache>
            </c:strRef>
          </c:tx>
          <c:spPr>
            <a:solidFill>
              <a:srgbClr val="1DA31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Sheet1!$B$161:$B$165</c:f>
              <c:strCache>
                <c:ptCount val="5"/>
                <c:pt idx="0">
                  <c:v>Personu skaits, kuras atceltas no aizbildņa pienākumu pildīšanas</c:v>
                </c:pt>
                <c:pt idx="1">
                  <c:v>Aizbildņu skaits, kuri ir bērna vecvecāki</c:v>
                </c:pt>
                <c:pt idx="2">
                  <c:v>Aizbildņu skaits, kuri ir citi bērna radinieki</c:v>
                </c:pt>
                <c:pt idx="3">
                  <c:v>Citu personu skaits, kuras ieceltas par aizbildni bērnam</c:v>
                </c:pt>
                <c:pt idx="4">
                  <c:v>Aizbildņu skaits, par kuriem bāriņtiesa informējusi tiesībsargājošās iestādes</c:v>
                </c:pt>
              </c:strCache>
            </c:strRef>
          </c:cat>
          <c:val>
            <c:numRef>
              <c:f>Sheet1!$C$161:$C$165</c:f>
              <c:numCache>
                <c:formatCode>General</c:formatCode>
                <c:ptCount val="5"/>
                <c:pt idx="0">
                  <c:v>83</c:v>
                </c:pt>
                <c:pt idx="1">
                  <c:v>29</c:v>
                </c:pt>
                <c:pt idx="2">
                  <c:v>19</c:v>
                </c:pt>
                <c:pt idx="3">
                  <c:v>35</c:v>
                </c:pt>
                <c:pt idx="4">
                  <c:v>15</c:v>
                </c:pt>
              </c:numCache>
            </c:numRef>
          </c:val>
        </c:ser>
        <c:ser>
          <c:idx val="1"/>
          <c:order val="1"/>
          <c:tx>
            <c:strRef>
              <c:f>Sheet1!$D$160</c:f>
              <c:strCache>
                <c:ptCount val="1"/>
                <c:pt idx="0">
                  <c:v>2013</c:v>
                </c:pt>
              </c:strCache>
            </c:strRef>
          </c:tx>
          <c:spPr>
            <a:solidFill>
              <a:schemeClr val="accent4">
                <a:lumMod val="75000"/>
              </a:schemeClr>
            </a:solidFill>
            <a:ln>
              <a:noFill/>
            </a:ln>
            <a:effectLst/>
          </c:spPr>
          <c:invertIfNegative val="0"/>
          <c:dLbls>
            <c:dLbl>
              <c:idx val="4"/>
              <c:layout>
                <c:manualLayout>
                  <c:x val="2.5445292620865048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Sheet1!$B$161:$B$165</c:f>
              <c:strCache>
                <c:ptCount val="5"/>
                <c:pt idx="0">
                  <c:v>Personu skaits, kuras atceltas no aizbildņa pienākumu pildīšanas</c:v>
                </c:pt>
                <c:pt idx="1">
                  <c:v>Aizbildņu skaits, kuri ir bērna vecvecāki</c:v>
                </c:pt>
                <c:pt idx="2">
                  <c:v>Aizbildņu skaits, kuri ir citi bērna radinieki</c:v>
                </c:pt>
                <c:pt idx="3">
                  <c:v>Citu personu skaits, kuras ieceltas par aizbildni bērnam</c:v>
                </c:pt>
                <c:pt idx="4">
                  <c:v>Aizbildņu skaits, par kuriem bāriņtiesa informējusi tiesībsargājošās iestādes</c:v>
                </c:pt>
              </c:strCache>
            </c:strRef>
          </c:cat>
          <c:val>
            <c:numRef>
              <c:f>Sheet1!$D$161:$D$165</c:f>
              <c:numCache>
                <c:formatCode>General</c:formatCode>
                <c:ptCount val="5"/>
                <c:pt idx="0">
                  <c:v>62</c:v>
                </c:pt>
                <c:pt idx="1">
                  <c:v>29</c:v>
                </c:pt>
                <c:pt idx="2">
                  <c:v>20</c:v>
                </c:pt>
                <c:pt idx="3">
                  <c:v>13</c:v>
                </c:pt>
                <c:pt idx="4">
                  <c:v>13</c:v>
                </c:pt>
              </c:numCache>
            </c:numRef>
          </c:val>
        </c:ser>
        <c:ser>
          <c:idx val="2"/>
          <c:order val="2"/>
          <c:tx>
            <c:strRef>
              <c:f>Sheet1!$E$160</c:f>
              <c:strCache>
                <c:ptCount val="1"/>
                <c:pt idx="0">
                  <c:v>2014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Sheet1!$B$161:$B$165</c:f>
              <c:strCache>
                <c:ptCount val="5"/>
                <c:pt idx="0">
                  <c:v>Personu skaits, kuras atceltas no aizbildņa pienākumu pildīšanas</c:v>
                </c:pt>
                <c:pt idx="1">
                  <c:v>Aizbildņu skaits, kuri ir bērna vecvecāki</c:v>
                </c:pt>
                <c:pt idx="2">
                  <c:v>Aizbildņu skaits, kuri ir citi bērna radinieki</c:v>
                </c:pt>
                <c:pt idx="3">
                  <c:v>Citu personu skaits, kuras ieceltas par aizbildni bērnam</c:v>
                </c:pt>
                <c:pt idx="4">
                  <c:v>Aizbildņu skaits, par kuriem bāriņtiesa informējusi tiesībsargājošās iestādes</c:v>
                </c:pt>
              </c:strCache>
            </c:strRef>
          </c:cat>
          <c:val>
            <c:numRef>
              <c:f>Sheet1!$E$161:$E$165</c:f>
              <c:numCache>
                <c:formatCode>General</c:formatCode>
                <c:ptCount val="5"/>
                <c:pt idx="0">
                  <c:v>48</c:v>
                </c:pt>
                <c:pt idx="1">
                  <c:v>18</c:v>
                </c:pt>
                <c:pt idx="2">
                  <c:v>17</c:v>
                </c:pt>
                <c:pt idx="3">
                  <c:v>13</c:v>
                </c:pt>
                <c:pt idx="4">
                  <c:v>5</c:v>
                </c:pt>
              </c:numCache>
            </c:numRef>
          </c:val>
        </c:ser>
        <c:ser>
          <c:idx val="3"/>
          <c:order val="3"/>
          <c:tx>
            <c:strRef>
              <c:f>Sheet1!$F$160</c:f>
              <c:strCache>
                <c:ptCount val="1"/>
                <c:pt idx="0">
                  <c:v>2015</c:v>
                </c:pt>
              </c:strCache>
            </c:strRef>
          </c:tx>
          <c:spPr>
            <a:solidFill>
              <a:srgbClr val="7734AA"/>
            </a:solidFill>
            <a:ln>
              <a:noFill/>
            </a:ln>
            <a:effectLst/>
          </c:spPr>
          <c:invertIfNegative val="0"/>
          <c:dLbls>
            <c:dLbl>
              <c:idx val="0"/>
              <c:layout>
                <c:manualLayout>
                  <c:x val="-2.5445292620865372E-3"/>
                  <c:y val="-0.10062893081761008"/>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3.5938893693318423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3.5938893693318485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5445292620865142E-3"/>
                  <c:y val="-3.9532783062650262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9.3298328486253379E-17"/>
                  <c:y val="-4.31266724319821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Sheet1!$B$161:$B$165</c:f>
              <c:strCache>
                <c:ptCount val="5"/>
                <c:pt idx="0">
                  <c:v>Personu skaits, kuras atceltas no aizbildņa pienākumu pildīšanas</c:v>
                </c:pt>
                <c:pt idx="1">
                  <c:v>Aizbildņu skaits, kuri ir bērna vecvecāki</c:v>
                </c:pt>
                <c:pt idx="2">
                  <c:v>Aizbildņu skaits, kuri ir citi bērna radinieki</c:v>
                </c:pt>
                <c:pt idx="3">
                  <c:v>Citu personu skaits, kuras ieceltas par aizbildni bērnam</c:v>
                </c:pt>
                <c:pt idx="4">
                  <c:v>Aizbildņu skaits, par kuriem bāriņtiesa informējusi tiesībsargājošās iestādes</c:v>
                </c:pt>
              </c:strCache>
            </c:strRef>
          </c:cat>
          <c:val>
            <c:numRef>
              <c:f>Sheet1!$F$161:$F$165</c:f>
              <c:numCache>
                <c:formatCode>General</c:formatCode>
                <c:ptCount val="5"/>
                <c:pt idx="0">
                  <c:v>59</c:v>
                </c:pt>
                <c:pt idx="1">
                  <c:v>16</c:v>
                </c:pt>
                <c:pt idx="2">
                  <c:v>18</c:v>
                </c:pt>
                <c:pt idx="3">
                  <c:v>25</c:v>
                </c:pt>
                <c:pt idx="4">
                  <c:v>17</c:v>
                </c:pt>
              </c:numCache>
            </c:numRef>
          </c:val>
        </c:ser>
        <c:dLbls>
          <c:showLegendKey val="0"/>
          <c:showVal val="0"/>
          <c:showCatName val="0"/>
          <c:showSerName val="0"/>
          <c:showPercent val="0"/>
          <c:showBubbleSize val="0"/>
        </c:dLbls>
        <c:gapWidth val="150"/>
        <c:overlap val="100"/>
        <c:axId val="501709584"/>
        <c:axId val="501711544"/>
      </c:barChart>
      <c:catAx>
        <c:axId val="501709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01711544"/>
        <c:crosses val="autoZero"/>
        <c:auto val="1"/>
        <c:lblAlgn val="ctr"/>
        <c:lblOffset val="100"/>
        <c:noMultiLvlLbl val="0"/>
      </c:catAx>
      <c:valAx>
        <c:axId val="501711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7095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gradFill>
      <a:gsLst>
        <a:gs pos="0">
          <a:srgbClr val="92D050"/>
        </a:gs>
        <a:gs pos="59000">
          <a:schemeClr val="accent6">
            <a:lumMod val="60000"/>
            <a:lumOff val="40000"/>
          </a:schemeClr>
        </a:gs>
        <a:gs pos="26000">
          <a:schemeClr val="accent6">
            <a:lumMod val="60000"/>
            <a:lumOff val="40000"/>
          </a:schemeClr>
        </a:gs>
        <a:gs pos="85000">
          <a:srgbClr val="BA8CDC"/>
        </a:gs>
      </a:gsLst>
      <a:lin ang="5400000" scaled="1"/>
    </a:gradFill>
    <a:ln w="15875" cap="flat" cmpd="sng" algn="ctr">
      <a:solidFill>
        <a:schemeClr val="tx1">
          <a:lumMod val="65000"/>
          <a:lumOff val="3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lv-LV" b="1" i="0" baseline="0">
                <a:solidFill>
                  <a:sysClr val="windowText" lastClr="000000"/>
                </a:solidFill>
              </a:rPr>
              <a:t>Aizgādības tiesību pārtraukšana</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Sheet1!$B$191</c:f>
              <c:strCache>
                <c:ptCount val="1"/>
                <c:pt idx="0">
                  <c:v>Personu skaits, kurām pārtrauktas aizgādības tiesības</c:v>
                </c:pt>
              </c:strCache>
            </c:strRef>
          </c:tx>
          <c:spPr>
            <a:solidFill>
              <a:srgbClr val="C00000"/>
            </a:solidFill>
            <a:ln>
              <a:noFill/>
            </a:ln>
            <a:effectLst/>
            <a:sp3d/>
          </c:spPr>
          <c:invertIfNegative val="0"/>
          <c:dLbls>
            <c:dLbl>
              <c:idx val="0"/>
              <c:layout>
                <c:manualLayout>
                  <c:x val="0"/>
                  <c:y val="-2.967988128047487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178886588953005E-3"/>
                  <c:y val="-3.815984736061059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3.8159847360610559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2.543989824040703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Sheet1!$F$190:$I$190</c:f>
              <c:numCache>
                <c:formatCode>General</c:formatCode>
                <c:ptCount val="4"/>
                <c:pt idx="0">
                  <c:v>2012</c:v>
                </c:pt>
                <c:pt idx="1">
                  <c:v>2013</c:v>
                </c:pt>
                <c:pt idx="2">
                  <c:v>2014</c:v>
                </c:pt>
                <c:pt idx="3">
                  <c:v>2015</c:v>
                </c:pt>
              </c:numCache>
            </c:numRef>
          </c:cat>
          <c:val>
            <c:numRef>
              <c:f>Sheet1!$F$191:$I$191</c:f>
              <c:numCache>
                <c:formatCode>General</c:formatCode>
                <c:ptCount val="4"/>
                <c:pt idx="0">
                  <c:v>1876</c:v>
                </c:pt>
                <c:pt idx="1">
                  <c:v>1799</c:v>
                </c:pt>
                <c:pt idx="2">
                  <c:v>1404</c:v>
                </c:pt>
                <c:pt idx="3">
                  <c:v>1235</c:v>
                </c:pt>
              </c:numCache>
            </c:numRef>
          </c:val>
        </c:ser>
        <c:ser>
          <c:idx val="2"/>
          <c:order val="1"/>
          <c:tx>
            <c:strRef>
              <c:f>Sheet1!$B$193</c:f>
              <c:strCache>
                <c:ptCount val="1"/>
                <c:pt idx="0">
                  <c:v>Bērnu skaits, kuru vecākiem pārtrauktas aizgādības tiesības</c:v>
                </c:pt>
              </c:strCache>
            </c:strRef>
          </c:tx>
          <c:spPr>
            <a:solidFill>
              <a:srgbClr val="009999"/>
            </a:solidFill>
            <a:ln>
              <a:noFill/>
            </a:ln>
            <a:effectLst/>
            <a:sp3d/>
          </c:spPr>
          <c:invertIfNegative val="0"/>
          <c:dLbls>
            <c:dLbl>
              <c:idx val="0"/>
              <c:layout>
                <c:manualLayout>
                  <c:x val="0"/>
                  <c:y val="-2.5439898240407079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6.5366597668591346E-3"/>
                  <c:y val="-2.967988128047487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2.9679881280474916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5978317069440061E-16"/>
                  <c:y val="-3.815984736061059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Sheet1!$F$190:$I$190</c:f>
              <c:numCache>
                <c:formatCode>General</c:formatCode>
                <c:ptCount val="4"/>
                <c:pt idx="0">
                  <c:v>2012</c:v>
                </c:pt>
                <c:pt idx="1">
                  <c:v>2013</c:v>
                </c:pt>
                <c:pt idx="2">
                  <c:v>2014</c:v>
                </c:pt>
                <c:pt idx="3">
                  <c:v>2015</c:v>
                </c:pt>
              </c:numCache>
            </c:numRef>
          </c:cat>
          <c:val>
            <c:numRef>
              <c:f>Sheet1!$F$193:$I$193</c:f>
              <c:numCache>
                <c:formatCode>General</c:formatCode>
                <c:ptCount val="4"/>
                <c:pt idx="0">
                  <c:v>2189</c:v>
                </c:pt>
                <c:pt idx="1">
                  <c:v>2032</c:v>
                </c:pt>
                <c:pt idx="2">
                  <c:v>1605</c:v>
                </c:pt>
                <c:pt idx="3">
                  <c:v>1465</c:v>
                </c:pt>
              </c:numCache>
            </c:numRef>
          </c:val>
        </c:ser>
        <c:dLbls>
          <c:showLegendKey val="0"/>
          <c:showVal val="0"/>
          <c:showCatName val="0"/>
          <c:showSerName val="0"/>
          <c:showPercent val="0"/>
          <c:showBubbleSize val="0"/>
        </c:dLbls>
        <c:gapWidth val="150"/>
        <c:shape val="box"/>
        <c:axId val="438288800"/>
        <c:axId val="438289584"/>
        <c:axId val="444772424"/>
      </c:bar3DChart>
      <c:catAx>
        <c:axId val="4382888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38289584"/>
        <c:crosses val="autoZero"/>
        <c:auto val="1"/>
        <c:lblAlgn val="ctr"/>
        <c:lblOffset val="100"/>
        <c:noMultiLvlLbl val="0"/>
      </c:catAx>
      <c:valAx>
        <c:axId val="438289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8288800"/>
        <c:crosses val="autoZero"/>
        <c:crossBetween val="between"/>
      </c:valAx>
      <c:serAx>
        <c:axId val="444772424"/>
        <c:scaling>
          <c:orientation val="minMax"/>
        </c:scaling>
        <c:delete val="1"/>
        <c:axPos val="b"/>
        <c:majorTickMark val="out"/>
        <c:minorTickMark val="none"/>
        <c:tickLblPos val="nextTo"/>
        <c:crossAx val="438289584"/>
        <c:crosses val="autoZero"/>
      </c:serAx>
      <c:spPr>
        <a:gradFill>
          <a:gsLst>
            <a:gs pos="8000">
              <a:schemeClr val="accent2">
                <a:lumMod val="40000"/>
                <a:lumOff val="60000"/>
              </a:schemeClr>
            </a:gs>
            <a:gs pos="100000">
              <a:schemeClr val="accent1">
                <a:lumMod val="45000"/>
                <a:lumOff val="55000"/>
              </a:schemeClr>
            </a:gs>
            <a:gs pos="71000">
              <a:schemeClr val="accent2">
                <a:lumMod val="60000"/>
                <a:lumOff val="40000"/>
              </a:schemeClr>
            </a:gs>
            <a:gs pos="100000">
              <a:schemeClr val="accent1">
                <a:lumMod val="30000"/>
                <a:lumOff val="70000"/>
              </a:schemeClr>
            </a:gs>
          </a:gsLst>
          <a:lin ang="5400000" scaled="1"/>
        </a:grad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gradFill>
      <a:gsLst>
        <a:gs pos="71672">
          <a:schemeClr val="accent2">
            <a:lumMod val="40000"/>
            <a:lumOff val="60000"/>
          </a:schemeClr>
        </a:gs>
        <a:gs pos="45982">
          <a:schemeClr val="accent2">
            <a:lumMod val="40000"/>
            <a:lumOff val="60000"/>
          </a:schemeClr>
        </a:gs>
        <a:gs pos="0">
          <a:schemeClr val="accent4">
            <a:lumMod val="40000"/>
            <a:lumOff val="60000"/>
          </a:schemeClr>
        </a:gs>
        <a:gs pos="100000">
          <a:schemeClr val="accent1">
            <a:lumMod val="45000"/>
            <a:lumOff val="55000"/>
          </a:schemeClr>
        </a:gs>
        <a:gs pos="83000">
          <a:schemeClr val="accent2">
            <a:lumMod val="20000"/>
            <a:lumOff val="80000"/>
          </a:schemeClr>
        </a:gs>
        <a:gs pos="89375">
          <a:schemeClr val="accent2">
            <a:lumMod val="40000"/>
            <a:lumOff val="60000"/>
          </a:schemeClr>
        </a:gs>
        <a:gs pos="100000">
          <a:schemeClr val="accent2">
            <a:lumMod val="20000"/>
            <a:lumOff val="80000"/>
          </a:schemeClr>
        </a:gs>
      </a:gsLst>
      <a:lin ang="5400000" scaled="1"/>
    </a:gradFill>
    <a:ln w="1587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lv-LV" b="1">
                <a:solidFill>
                  <a:sysClr val="windowText" lastClr="000000"/>
                </a:solidFill>
              </a:rPr>
              <a:t>Bērnu turpmākā aprūpe pēc aprūpes aizbildņa ģimenē izbeigšanas</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00B050"/>
              </a:solidFill>
              <a:ln w="12700">
                <a:solidFill>
                  <a:schemeClr val="lt1"/>
                </a:solidFill>
              </a:ln>
              <a:effectLst/>
              <a:sp3d contourW="12700">
                <a:contourClr>
                  <a:schemeClr val="lt1"/>
                </a:contourClr>
              </a:sp3d>
            </c:spPr>
          </c:dPt>
          <c:dPt>
            <c:idx val="1"/>
            <c:bubble3D val="0"/>
            <c:spPr>
              <a:solidFill>
                <a:srgbClr val="002060"/>
              </a:solidFill>
              <a:ln w="0">
                <a:solidFill>
                  <a:schemeClr val="lt1"/>
                </a:solidFill>
              </a:ln>
              <a:effectLst/>
              <a:sp3d>
                <a:contourClr>
                  <a:schemeClr val="lt1"/>
                </a:contourClr>
              </a:sp3d>
            </c:spPr>
          </c:dPt>
          <c:dPt>
            <c:idx val="2"/>
            <c:bubble3D val="0"/>
            <c:spPr>
              <a:solidFill>
                <a:srgbClr val="FF0000"/>
              </a:solidFill>
              <a:ln w="0">
                <a:solidFill>
                  <a:schemeClr val="lt1"/>
                </a:solidFill>
              </a:ln>
              <a:effectLst/>
              <a:sp3d>
                <a:contourClr>
                  <a:schemeClr val="lt1"/>
                </a:contourClr>
              </a:sp3d>
            </c:spPr>
          </c:dPt>
          <c:dPt>
            <c:idx val="3"/>
            <c:bubble3D val="0"/>
            <c:spPr>
              <a:solidFill>
                <a:schemeClr val="accent4"/>
              </a:solidFill>
              <a:ln w="0">
                <a:solidFill>
                  <a:schemeClr val="lt1"/>
                </a:solidFill>
              </a:ln>
              <a:effectLst/>
              <a:sp3d>
                <a:contourClr>
                  <a:schemeClr val="lt1"/>
                </a:contourClr>
              </a:sp3d>
            </c:spPr>
          </c:dPt>
          <c:dPt>
            <c:idx val="4"/>
            <c:bubble3D val="0"/>
            <c:spPr>
              <a:solidFill>
                <a:srgbClr val="DA92C5"/>
              </a:solidFill>
              <a:ln w="0">
                <a:solidFill>
                  <a:schemeClr val="lt1"/>
                </a:solidFill>
              </a:ln>
              <a:effectLst/>
              <a:sp3d>
                <a:contourClr>
                  <a:schemeClr val="lt1"/>
                </a:contourClr>
              </a:sp3d>
            </c:spPr>
          </c:dPt>
          <c:dPt>
            <c:idx val="5"/>
            <c:bubble3D val="0"/>
            <c:spPr>
              <a:solidFill>
                <a:srgbClr val="BE1278"/>
              </a:solidFill>
              <a:ln w="0">
                <a:solidFill>
                  <a:schemeClr val="lt1"/>
                </a:solidFill>
              </a:ln>
              <a:effectLst/>
              <a:sp3d>
                <a:contourClr>
                  <a:schemeClr val="lt1"/>
                </a:contourClr>
              </a:sp3d>
            </c:spPr>
          </c:dPt>
          <c:dPt>
            <c:idx val="6"/>
            <c:bubble3D val="0"/>
            <c:spPr>
              <a:solidFill>
                <a:schemeClr val="accent2">
                  <a:lumMod val="75000"/>
                </a:schemeClr>
              </a:solidFill>
              <a:ln w="0">
                <a:solidFill>
                  <a:schemeClr val="lt1"/>
                </a:solidFill>
              </a:ln>
              <a:effectLst/>
              <a:sp3d>
                <a:contourClr>
                  <a:schemeClr val="lt1"/>
                </a:contourClr>
              </a:sp3d>
            </c:spPr>
          </c:dPt>
          <c:dPt>
            <c:idx val="7"/>
            <c:bubble3D val="0"/>
            <c:spPr>
              <a:solidFill>
                <a:srgbClr val="00B0F0"/>
              </a:solidFill>
              <a:ln w="0">
                <a:solidFill>
                  <a:schemeClr val="lt1">
                    <a:alpha val="58000"/>
                  </a:schemeClr>
                </a:solidFill>
              </a:ln>
              <a:effectLst/>
              <a:sp3d>
                <a:contourClr>
                  <a:schemeClr val="lt1">
                    <a:alpha val="58000"/>
                  </a:schemeClr>
                </a:contourClr>
              </a:sp3d>
            </c:spPr>
          </c:dPt>
          <c:dPt>
            <c:idx val="8"/>
            <c:bubble3D val="0"/>
            <c:spPr>
              <a:solidFill>
                <a:schemeClr val="accent4">
                  <a:lumMod val="60000"/>
                  <a:lumOff val="40000"/>
                </a:schemeClr>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Sheet1!$B$110:$B$118</c:f>
              <c:strCache>
                <c:ptCount val="8"/>
                <c:pt idx="0">
                  <c:v>Adoptēto bērnu skaits</c:v>
                </c:pt>
                <c:pt idx="1">
                  <c:v>Aprūpē audžuģimenē nodoto bērnu skaits</c:v>
                </c:pt>
                <c:pt idx="2">
                  <c:v>Aprūpē citā aizbildņa ģimenē nodoto bērnu skaits</c:v>
                </c:pt>
                <c:pt idx="3">
                  <c:v>Institūcijā ievietoto bērnu skaits</c:v>
                </c:pt>
                <c:pt idx="4">
                  <c:v>Vecāku aprūpē nodoto bērnu skaits pēc pārtraukto vai atņemto bērna aizgādības tiesību atjaunošanas vecākiem</c:v>
                </c:pt>
                <c:pt idx="5">
                  <c:v>Vecāku aprūpē nodoto bērnu skaits pēc vecāku veselības stāvokļa uzlabošanās</c:v>
                </c:pt>
                <c:pt idx="6">
                  <c:v>Vecāku aprūpē nodoto bērnu skaits pēc vecāku pilngadības sasniegšanas</c:v>
                </c:pt>
                <c:pt idx="7">
                  <c:v>Bērnu skaits pēc pilngadības sasniegšanas</c:v>
                </c:pt>
              </c:strCache>
            </c:strRef>
          </c:cat>
          <c:val>
            <c:numRef>
              <c:f>Sheet1!$C$110:$C$118</c:f>
              <c:numCache>
                <c:formatCode>General</c:formatCode>
                <c:ptCount val="9"/>
                <c:pt idx="0">
                  <c:v>31</c:v>
                </c:pt>
                <c:pt idx="1">
                  <c:v>28</c:v>
                </c:pt>
                <c:pt idx="2">
                  <c:v>55</c:v>
                </c:pt>
                <c:pt idx="3">
                  <c:v>37</c:v>
                </c:pt>
                <c:pt idx="4">
                  <c:v>127</c:v>
                </c:pt>
                <c:pt idx="5">
                  <c:v>8</c:v>
                </c:pt>
                <c:pt idx="6">
                  <c:v>46</c:v>
                </c:pt>
                <c:pt idx="7">
                  <c:v>350</c:v>
                </c:pt>
              </c:numCache>
            </c:numRef>
          </c:val>
        </c:ser>
        <c:dLbls>
          <c:showLegendKey val="0"/>
          <c:showVal val="0"/>
          <c:showCatName val="0"/>
          <c:showSerName val="0"/>
          <c:showPercent val="0"/>
          <c:showBubbleSize val="0"/>
          <c:showLeaderLines val="1"/>
        </c:dLbls>
      </c:pie3DChart>
      <c:spPr>
        <a:gradFill>
          <a:gsLst>
            <a:gs pos="0">
              <a:schemeClr val="accent4">
                <a:lumMod val="20000"/>
                <a:lumOff val="80000"/>
              </a:schemeClr>
            </a:gs>
            <a:gs pos="31894">
              <a:srgbClr val="DFE4DA"/>
            </a:gs>
            <a:gs pos="74000">
              <a:schemeClr val="accent3">
                <a:lumMod val="20000"/>
                <a:lumOff val="80000"/>
              </a:schemeClr>
            </a:gs>
            <a:gs pos="83000">
              <a:schemeClr val="accent3">
                <a:lumMod val="20000"/>
                <a:lumOff val="80000"/>
              </a:schemeClr>
            </a:gs>
            <a:gs pos="100000">
              <a:schemeClr val="accent1">
                <a:lumMod val="30000"/>
                <a:lumOff val="70000"/>
              </a:schemeClr>
            </a:gs>
          </a:gsLst>
          <a:lin ang="5400000" scaled="1"/>
        </a:gradFill>
        <a:ln>
          <a:noFill/>
        </a:ln>
        <a:effectLst/>
      </c:spPr>
    </c:plotArea>
    <c:legend>
      <c:legendPos val="r"/>
      <c:layout>
        <c:manualLayout>
          <c:xMode val="edge"/>
          <c:yMode val="edge"/>
          <c:x val="0.60058309037900881"/>
          <c:y val="0.14844090492202572"/>
          <c:w val="0.38775510204081631"/>
          <c:h val="0.81966516732884653"/>
        </c:manualLayout>
      </c:layout>
      <c:overlay val="0"/>
      <c:spPr>
        <a:gradFill>
          <a:gsLst>
            <a:gs pos="0">
              <a:schemeClr val="accent4">
                <a:lumMod val="20000"/>
                <a:lumOff val="80000"/>
              </a:schemeClr>
            </a:gs>
            <a:gs pos="31894">
              <a:srgbClr val="DFE4DA"/>
            </a:gs>
            <a:gs pos="74000">
              <a:schemeClr val="accent3">
                <a:lumMod val="20000"/>
                <a:lumOff val="80000"/>
              </a:schemeClr>
            </a:gs>
            <a:gs pos="83000">
              <a:schemeClr val="accent3">
                <a:lumMod val="20000"/>
                <a:lumOff val="80000"/>
              </a:schemeClr>
            </a:gs>
            <a:gs pos="100000">
              <a:schemeClr val="accent1">
                <a:lumMod val="30000"/>
                <a:lumOff val="70000"/>
              </a:schemeClr>
            </a:gs>
          </a:gsLst>
          <a:lin ang="5400000" scaled="1"/>
        </a:gra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gradFill>
      <a:gsLst>
        <a:gs pos="0">
          <a:schemeClr val="accent4">
            <a:lumMod val="20000"/>
            <a:lumOff val="80000"/>
          </a:schemeClr>
        </a:gs>
        <a:gs pos="31894">
          <a:srgbClr val="DFE4DA"/>
        </a:gs>
        <a:gs pos="74000">
          <a:schemeClr val="accent3">
            <a:lumMod val="20000"/>
            <a:lumOff val="80000"/>
          </a:schemeClr>
        </a:gs>
        <a:gs pos="83000">
          <a:schemeClr val="accent3">
            <a:lumMod val="20000"/>
            <a:lumOff val="80000"/>
          </a:schemeClr>
        </a:gs>
        <a:gs pos="100000">
          <a:schemeClr val="accent1">
            <a:lumMod val="30000"/>
            <a:lumOff val="70000"/>
          </a:schemeClr>
        </a:gs>
      </a:gsLst>
      <a:lin ang="5400000" scaled="1"/>
    </a:gradFill>
    <a:ln w="1587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baseline="0">
                <a:solidFill>
                  <a:sysClr val="windowText" lastClr="000000"/>
                </a:solidFill>
              </a:rPr>
              <a:t>Audžuģimeņu kopējais skaits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rAngAx val="0"/>
    </c:view3D>
    <c:floor>
      <c:thickness val="0"/>
      <c:spPr>
        <a:noFill/>
        <a:ln>
          <a:noFill/>
        </a:ln>
        <a:effectLst/>
        <a:sp3d/>
      </c:spPr>
    </c:floor>
    <c:sideWall>
      <c:thickness val="0"/>
      <c:spPr>
        <a:gradFill>
          <a:gsLst>
            <a:gs pos="0">
              <a:schemeClr val="accent6">
                <a:lumMod val="40000"/>
                <a:lumOff val="60000"/>
              </a:schemeClr>
            </a:gs>
            <a:gs pos="100000">
              <a:schemeClr val="accent4">
                <a:lumMod val="40000"/>
                <a:lumOff val="60000"/>
              </a:schemeClr>
            </a:gs>
            <a:gs pos="83000">
              <a:schemeClr val="accent1">
                <a:lumMod val="45000"/>
                <a:lumOff val="55000"/>
              </a:schemeClr>
            </a:gs>
            <a:gs pos="100000">
              <a:schemeClr val="accent1">
                <a:lumMod val="30000"/>
                <a:lumOff val="70000"/>
              </a:schemeClr>
            </a:gs>
          </a:gsLst>
          <a:lin ang="5400000" scaled="1"/>
        </a:gradFill>
        <a:ln>
          <a:noFill/>
        </a:ln>
        <a:effectLst/>
        <a:sp3d/>
      </c:spPr>
    </c:sideWall>
    <c:backWall>
      <c:thickness val="0"/>
      <c:spPr>
        <a:gradFill>
          <a:gsLst>
            <a:gs pos="0">
              <a:schemeClr val="accent6">
                <a:lumMod val="40000"/>
                <a:lumOff val="60000"/>
              </a:schemeClr>
            </a:gs>
            <a:gs pos="100000">
              <a:schemeClr val="accent4">
                <a:lumMod val="40000"/>
                <a:lumOff val="60000"/>
              </a:schemeClr>
            </a:gs>
            <a:gs pos="83000">
              <a:schemeClr val="accent1">
                <a:lumMod val="45000"/>
                <a:lumOff val="55000"/>
              </a:schemeClr>
            </a:gs>
            <a:gs pos="100000">
              <a:schemeClr val="accent1">
                <a:lumMod val="30000"/>
                <a:lumOff val="70000"/>
              </a:schemeClr>
            </a:gs>
          </a:gsLst>
          <a:lin ang="5400000" scaled="1"/>
        </a:gradFill>
        <a:ln>
          <a:noFill/>
        </a:ln>
        <a:effectLst/>
        <a:sp3d/>
      </c:spPr>
    </c:backWall>
    <c:plotArea>
      <c:layout/>
      <c:bar3DChart>
        <c:barDir val="col"/>
        <c:grouping val="clustered"/>
        <c:varyColors val="0"/>
        <c:ser>
          <c:idx val="0"/>
          <c:order val="0"/>
          <c:spPr>
            <a:solidFill>
              <a:schemeClr val="accent2">
                <a:lumMod val="75000"/>
              </a:schemeClr>
            </a:solidFill>
            <a:ln>
              <a:solidFill>
                <a:schemeClr val="accent2">
                  <a:lumMod val="75000"/>
                </a:schemeClr>
              </a:solidFill>
            </a:ln>
            <a:effectLst/>
            <a:sp3d>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Sheet1!$E$299:$E$302</c:f>
              <c:numCache>
                <c:formatCode>General</c:formatCode>
                <c:ptCount val="4"/>
                <c:pt idx="0">
                  <c:v>2012</c:v>
                </c:pt>
                <c:pt idx="1">
                  <c:v>2013</c:v>
                </c:pt>
                <c:pt idx="2">
                  <c:v>2014</c:v>
                </c:pt>
                <c:pt idx="3">
                  <c:v>2015</c:v>
                </c:pt>
              </c:numCache>
            </c:numRef>
          </c:cat>
          <c:val>
            <c:numRef>
              <c:f>Sheet1!$F$299:$F$302</c:f>
              <c:numCache>
                <c:formatCode>General</c:formatCode>
                <c:ptCount val="4"/>
                <c:pt idx="0">
                  <c:v>582</c:v>
                </c:pt>
                <c:pt idx="1">
                  <c:v>594</c:v>
                </c:pt>
                <c:pt idx="2">
                  <c:v>579</c:v>
                </c:pt>
                <c:pt idx="3">
                  <c:v>585</c:v>
                </c:pt>
              </c:numCache>
            </c:numRef>
          </c:val>
        </c:ser>
        <c:dLbls>
          <c:showLegendKey val="0"/>
          <c:showVal val="0"/>
          <c:showCatName val="0"/>
          <c:showSerName val="0"/>
          <c:showPercent val="0"/>
          <c:showBubbleSize val="0"/>
        </c:dLbls>
        <c:gapWidth val="150"/>
        <c:shape val="box"/>
        <c:axId val="501713504"/>
        <c:axId val="501714288"/>
        <c:axId val="0"/>
      </c:bar3DChart>
      <c:catAx>
        <c:axId val="501713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501714288"/>
        <c:crosses val="autoZero"/>
        <c:auto val="1"/>
        <c:lblAlgn val="ctr"/>
        <c:lblOffset val="100"/>
        <c:noMultiLvlLbl val="0"/>
      </c:catAx>
      <c:valAx>
        <c:axId val="501714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713504"/>
        <c:crosses val="autoZero"/>
        <c:crossBetween val="between"/>
      </c:valAx>
      <c:spPr>
        <a:noFill/>
        <a:ln>
          <a:noFill/>
        </a:ln>
        <a:effectLst/>
      </c:spPr>
    </c:plotArea>
    <c:plotVisOnly val="1"/>
    <c:dispBlanksAs val="gap"/>
    <c:showDLblsOverMax val="0"/>
  </c:chart>
  <c:spPr>
    <a:gradFill>
      <a:gsLst>
        <a:gs pos="0">
          <a:schemeClr val="accent6">
            <a:lumMod val="40000"/>
            <a:lumOff val="60000"/>
          </a:schemeClr>
        </a:gs>
        <a:gs pos="74000">
          <a:srgbClr val="F3FF5B"/>
        </a:gs>
        <a:gs pos="83000">
          <a:srgbClr val="F6FA40"/>
        </a:gs>
        <a:gs pos="100000">
          <a:srgbClr val="ECFB5B"/>
        </a:gs>
      </a:gsLst>
      <a:lin ang="5400000" scaled="1"/>
    </a:gradFill>
    <a:ln w="15875" cap="flat" cmpd="sng" algn="ctr">
      <a:solidFill>
        <a:schemeClr val="tx1">
          <a:lumMod val="65000"/>
          <a:lumOff val="3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lv-LV" sz="1600" b="1" baseline="0">
                <a:solidFill>
                  <a:sysClr val="windowText" lastClr="000000"/>
                </a:solidFill>
              </a:rPr>
              <a:t>Pārskats par audžuģimenēm</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Sheet1!$D$311</c:f>
              <c:strCache>
                <c:ptCount val="1"/>
                <c:pt idx="0">
                  <c:v>Audžuģimeņu skaits, kurām statuss piešķirts pārskata gadā </c:v>
                </c:pt>
              </c:strCache>
            </c:strRef>
          </c:tx>
          <c:spPr>
            <a:solidFill>
              <a:srgbClr val="1DA31D"/>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Sheet1!$F$310:$N$310</c:f>
              <c:numCache>
                <c:formatCode>General</c:formatCode>
                <c:ptCount val="4"/>
                <c:pt idx="0">
                  <c:v>2012</c:v>
                </c:pt>
                <c:pt idx="1">
                  <c:v>2013</c:v>
                </c:pt>
                <c:pt idx="2">
                  <c:v>2014</c:v>
                </c:pt>
                <c:pt idx="3">
                  <c:v>2015</c:v>
                </c:pt>
              </c:numCache>
            </c:numRef>
          </c:cat>
          <c:val>
            <c:numRef>
              <c:f>Sheet1!$F$311:$N$311</c:f>
              <c:numCache>
                <c:formatCode>General</c:formatCode>
                <c:ptCount val="4"/>
                <c:pt idx="0">
                  <c:v>51</c:v>
                </c:pt>
                <c:pt idx="1">
                  <c:v>53</c:v>
                </c:pt>
                <c:pt idx="2">
                  <c:v>35</c:v>
                </c:pt>
                <c:pt idx="3">
                  <c:v>34</c:v>
                </c:pt>
              </c:numCache>
            </c:numRef>
          </c:val>
        </c:ser>
        <c:ser>
          <c:idx val="1"/>
          <c:order val="1"/>
          <c:tx>
            <c:strRef>
              <c:f>Sheet1!$D$312</c:f>
              <c:strCache>
                <c:ptCount val="1"/>
                <c:pt idx="0">
                  <c:v>Audžuģimeņu skaits, kurām ar bāriņtiesas lēmumu atņemts statuss </c:v>
                </c:pt>
              </c:strCache>
            </c:strRef>
          </c:tx>
          <c:spPr>
            <a:solidFill>
              <a:srgbClr val="CC330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Sheet1!$F$310:$N$310</c:f>
              <c:numCache>
                <c:formatCode>General</c:formatCode>
                <c:ptCount val="4"/>
                <c:pt idx="0">
                  <c:v>2012</c:v>
                </c:pt>
                <c:pt idx="1">
                  <c:v>2013</c:v>
                </c:pt>
                <c:pt idx="2">
                  <c:v>2014</c:v>
                </c:pt>
                <c:pt idx="3">
                  <c:v>2015</c:v>
                </c:pt>
              </c:numCache>
            </c:numRef>
          </c:cat>
          <c:val>
            <c:numRef>
              <c:f>Sheet1!$F$312:$N$312</c:f>
              <c:numCache>
                <c:formatCode>General</c:formatCode>
                <c:ptCount val="4"/>
                <c:pt idx="0">
                  <c:v>24</c:v>
                </c:pt>
                <c:pt idx="1">
                  <c:v>13</c:v>
                </c:pt>
                <c:pt idx="2">
                  <c:v>13</c:v>
                </c:pt>
                <c:pt idx="3">
                  <c:v>2</c:v>
                </c:pt>
              </c:numCache>
            </c:numRef>
          </c:val>
        </c:ser>
        <c:ser>
          <c:idx val="2"/>
          <c:order val="2"/>
          <c:tx>
            <c:strRef>
              <c:f>Sheet1!$D$313</c:f>
              <c:strCache>
                <c:ptCount val="1"/>
                <c:pt idx="0">
                  <c:v>Audžuģimeņu skaits, kurām ar bāriņtiesas lēmumu izbeigts statuss </c:v>
                </c:pt>
              </c:strCache>
            </c:strRef>
          </c:tx>
          <c:spPr>
            <a:solidFill>
              <a:schemeClr val="accent4">
                <a:lumMod val="75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Sheet1!$F$310:$N$310</c:f>
              <c:numCache>
                <c:formatCode>General</c:formatCode>
                <c:ptCount val="4"/>
                <c:pt idx="0">
                  <c:v>2012</c:v>
                </c:pt>
                <c:pt idx="1">
                  <c:v>2013</c:v>
                </c:pt>
                <c:pt idx="2">
                  <c:v>2014</c:v>
                </c:pt>
                <c:pt idx="3">
                  <c:v>2015</c:v>
                </c:pt>
              </c:numCache>
            </c:numRef>
          </c:cat>
          <c:val>
            <c:numRef>
              <c:f>Sheet1!$F$313:$N$313</c:f>
              <c:numCache>
                <c:formatCode>General</c:formatCode>
                <c:ptCount val="4"/>
                <c:pt idx="0">
                  <c:v>25</c:v>
                </c:pt>
                <c:pt idx="1">
                  <c:v>22</c:v>
                </c:pt>
                <c:pt idx="2">
                  <c:v>28</c:v>
                </c:pt>
                <c:pt idx="3">
                  <c:v>29</c:v>
                </c:pt>
              </c:numCache>
            </c:numRef>
          </c:val>
        </c:ser>
        <c:dLbls>
          <c:showLegendKey val="0"/>
          <c:showVal val="0"/>
          <c:showCatName val="0"/>
          <c:showSerName val="0"/>
          <c:showPercent val="0"/>
          <c:showBubbleSize val="0"/>
        </c:dLbls>
        <c:gapWidth val="150"/>
        <c:shape val="box"/>
        <c:axId val="441902352"/>
        <c:axId val="441901176"/>
        <c:axId val="0"/>
      </c:bar3DChart>
      <c:catAx>
        <c:axId val="4419023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41901176"/>
        <c:crosses val="autoZero"/>
        <c:auto val="1"/>
        <c:lblAlgn val="ctr"/>
        <c:lblOffset val="100"/>
        <c:noMultiLvlLbl val="0"/>
      </c:catAx>
      <c:valAx>
        <c:axId val="441901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1902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gradFill>
      <a:gsLst>
        <a:gs pos="0">
          <a:schemeClr val="accent4">
            <a:lumMod val="40000"/>
            <a:lumOff val="60000"/>
          </a:schemeClr>
        </a:gs>
        <a:gs pos="74000">
          <a:schemeClr val="accent1">
            <a:lumMod val="45000"/>
            <a:lumOff val="55000"/>
          </a:schemeClr>
        </a:gs>
        <a:gs pos="83000">
          <a:schemeClr val="accent4">
            <a:lumMod val="40000"/>
            <a:lumOff val="60000"/>
          </a:schemeClr>
        </a:gs>
        <a:gs pos="100000">
          <a:schemeClr val="accent4">
            <a:lumMod val="40000"/>
            <a:lumOff val="60000"/>
          </a:schemeClr>
        </a:gs>
      </a:gsLst>
      <a:lin ang="5400000" scaled="1"/>
    </a:gradFill>
    <a:ln w="1587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tx>
            <c:strRef>
              <c:f>Sheet1!$C$417</c:f>
              <c:strCache>
                <c:ptCount val="1"/>
                <c:pt idx="0">
                  <c:v>Bērnu turpmākā aprūpe pēc aprūpes audžuģimenē izbeigšanas</c:v>
                </c:pt>
              </c:strCache>
            </c:strRef>
          </c:tx>
          <c:spPr>
            <a:solidFill>
              <a:schemeClr val="accent1"/>
            </a:solidFill>
            <a:ln>
              <a:noFill/>
            </a:ln>
            <a:effectLst/>
          </c:spPr>
          <c:invertIfNegative val="0"/>
          <c:dPt>
            <c:idx val="0"/>
            <c:invertIfNegative val="0"/>
            <c:bubble3D val="0"/>
            <c:spPr>
              <a:solidFill>
                <a:srgbClr val="92D050"/>
              </a:solidFill>
              <a:ln>
                <a:noFill/>
              </a:ln>
              <a:effectLst/>
            </c:spPr>
          </c:dPt>
          <c:dPt>
            <c:idx val="1"/>
            <c:invertIfNegative val="0"/>
            <c:bubble3D val="0"/>
            <c:spPr>
              <a:solidFill>
                <a:schemeClr val="accent2">
                  <a:lumMod val="75000"/>
                </a:schemeClr>
              </a:solidFill>
              <a:ln>
                <a:noFill/>
              </a:ln>
              <a:effectLst/>
            </c:spPr>
          </c:dPt>
          <c:dPt>
            <c:idx val="2"/>
            <c:invertIfNegative val="0"/>
            <c:bubble3D val="0"/>
            <c:spPr>
              <a:solidFill>
                <a:srgbClr val="0070C0"/>
              </a:solidFill>
              <a:ln>
                <a:noFill/>
              </a:ln>
              <a:effectLst/>
            </c:spPr>
          </c:dPt>
          <c:dPt>
            <c:idx val="3"/>
            <c:invertIfNegative val="0"/>
            <c:bubble3D val="0"/>
            <c:spPr>
              <a:solidFill>
                <a:srgbClr val="00B050"/>
              </a:solidFill>
              <a:ln>
                <a:noFill/>
              </a:ln>
              <a:effectLst/>
            </c:spPr>
          </c:dPt>
          <c:dPt>
            <c:idx val="4"/>
            <c:invertIfNegative val="0"/>
            <c:bubble3D val="0"/>
            <c:spPr>
              <a:solidFill>
                <a:srgbClr val="FF9999"/>
              </a:solidFill>
              <a:ln>
                <a:noFill/>
              </a:ln>
              <a:effectLst/>
            </c:spPr>
          </c:dPt>
          <c:dPt>
            <c:idx val="5"/>
            <c:invertIfNegative val="0"/>
            <c:bubble3D val="0"/>
            <c:spPr>
              <a:solidFill>
                <a:schemeClr val="accent4"/>
              </a:solidFill>
              <a:ln>
                <a:noFill/>
              </a:ln>
              <a:effectLst/>
            </c:spPr>
          </c:dPt>
          <c:dPt>
            <c:idx val="6"/>
            <c:invertIfNegative val="0"/>
            <c:bubble3D val="0"/>
            <c:spPr>
              <a:solidFill>
                <a:schemeClr val="bg1">
                  <a:lumMod val="65000"/>
                </a:schemeClr>
              </a:solidFill>
              <a:ln>
                <a:noFill/>
              </a:ln>
              <a:effectLst/>
            </c:spPr>
          </c:dPt>
          <c:dPt>
            <c:idx val="7"/>
            <c:invertIfNegative val="0"/>
            <c:bubble3D val="0"/>
            <c:spPr>
              <a:solidFill>
                <a:schemeClr val="accent4">
                  <a:lumMod val="75000"/>
                </a:schemeClr>
              </a:solidFill>
              <a:ln>
                <a:noFill/>
              </a:ln>
              <a:effectLst/>
            </c:spPr>
          </c:dPt>
          <c:dPt>
            <c:idx val="8"/>
            <c:invertIfNegative val="0"/>
            <c:bubble3D val="0"/>
            <c:spPr>
              <a:solidFill>
                <a:srgbClr val="92ACE6"/>
              </a:solidFill>
              <a:ln>
                <a:noFill/>
              </a:ln>
              <a:effectLst/>
            </c:spPr>
          </c:dPt>
          <c:dLbls>
            <c:dLbl>
              <c:idx val="0"/>
              <c:layout>
                <c:manualLayout>
                  <c:x val="-5.5005510079521508E-2"/>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8.8008816127234414E-3"/>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0803085644532047E-2"/>
                  <c:y val="-1.3486432288911658E-16"/>
                </c:manualLayout>
              </c:layout>
              <c:spPr>
                <a:solidFill>
                  <a:schemeClr val="accent6">
                    <a:lumMod val="60000"/>
                    <a:lumOff val="40000"/>
                  </a:schemeClr>
                </a:solid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3"/>
              <c:layout>
                <c:manualLayout>
                  <c:x val="-1.1001102015904303E-2"/>
                  <c:y val="-6.7432161444558292E-17"/>
                </c:manualLayout>
              </c:layout>
              <c:spPr>
                <a:solidFill>
                  <a:srgbClr val="00B0F0"/>
                </a:solid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4"/>
              <c:layout>
                <c:manualLayout>
                  <c:x val="-0.17161719144810719"/>
                  <c:y val="3.678160386907786E-3"/>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7.0407052901787615E-2"/>
                  <c:y val="-7.3563207738154366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0.1034103589495006"/>
                  <c:y val="-6.7432161444558292E-17"/>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7.2607273304968398E-2"/>
                  <c:y val="0"/>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9.0209036530415274E-2"/>
                  <c:y val="0"/>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Sheet1!$B$418:$B$426</c:f>
              <c:strCache>
                <c:ptCount val="9"/>
                <c:pt idx="1">
                  <c:v>Pilngadību sasniegušo bērnu skaits</c:v>
                </c:pt>
                <c:pt idx="2">
                  <c:v>Vecāku aprūpē nodoto bērnu skaits pēc vecāku pilngadības sasniegšanas</c:v>
                </c:pt>
                <c:pt idx="3">
                  <c:v>Vecāku aprūpē nodoto bērnu skaits pēc vecāku veselības stāvokļa uzlabošanās</c:v>
                </c:pt>
                <c:pt idx="4">
                  <c:v>Vecāku aprūpē nodoto bērnu skaits pēc pārtraukto vai atņemto bērna aizgādības tiesību atjaunošanas vecākiem</c:v>
                </c:pt>
                <c:pt idx="5">
                  <c:v>Institūcijā ievietoto bērnu skaits</c:v>
                </c:pt>
                <c:pt idx="6">
                  <c:v>Citā audžuģimenē nodoto bērnu skaits</c:v>
                </c:pt>
                <c:pt idx="7">
                  <c:v>Aizbildnībā nodoto bērnu skaits</c:v>
                </c:pt>
                <c:pt idx="8">
                  <c:v>Adoptēto bērnu skaits</c:v>
                </c:pt>
              </c:strCache>
            </c:strRef>
          </c:cat>
          <c:val>
            <c:numRef>
              <c:f>Sheet1!$C$418:$C$426</c:f>
              <c:numCache>
                <c:formatCode>General</c:formatCode>
                <c:ptCount val="9"/>
                <c:pt idx="1">
                  <c:v>37</c:v>
                </c:pt>
                <c:pt idx="2">
                  <c:v>6</c:v>
                </c:pt>
                <c:pt idx="3">
                  <c:v>3</c:v>
                </c:pt>
                <c:pt idx="4">
                  <c:v>46</c:v>
                </c:pt>
                <c:pt idx="5">
                  <c:v>34</c:v>
                </c:pt>
                <c:pt idx="6">
                  <c:v>33</c:v>
                </c:pt>
                <c:pt idx="7">
                  <c:v>53</c:v>
                </c:pt>
                <c:pt idx="8">
                  <c:v>55</c:v>
                </c:pt>
              </c:numCache>
            </c:numRef>
          </c:val>
        </c:ser>
        <c:dLbls>
          <c:showLegendKey val="0"/>
          <c:showVal val="0"/>
          <c:showCatName val="0"/>
          <c:showSerName val="0"/>
          <c:showPercent val="0"/>
          <c:showBubbleSize val="0"/>
        </c:dLbls>
        <c:gapWidth val="182"/>
        <c:axId val="441902744"/>
        <c:axId val="441903920"/>
        <c:extLst>
          <c:ext xmlns:c15="http://schemas.microsoft.com/office/drawing/2012/chart" uri="{02D57815-91ED-43cb-92C2-25804820EDAC}">
            <c15:filteredBarSeries>
              <c15:ser>
                <c:idx val="1"/>
                <c:order val="1"/>
                <c:tx>
                  <c:strRef>
                    <c:extLst>
                      <c:ext uri="{02D57815-91ED-43cb-92C2-25804820EDAC}">
                        <c15:formulaRef>
                          <c15:sqref>Sheet1!$D$417</c15:sqref>
                        </c15:formulaRef>
                      </c:ext>
                    </c:extLst>
                    <c:strCache>
                      <c:ptCount val="1"/>
                    </c:strCache>
                  </c:strRef>
                </c:tx>
                <c:spPr>
                  <a:solidFill>
                    <a:schemeClr val="accent2"/>
                  </a:solidFill>
                  <a:ln>
                    <a:noFill/>
                  </a:ln>
                  <a:effectLst/>
                </c:spPr>
                <c:invertIfNegative val="0"/>
                <c:cat>
                  <c:strRef>
                    <c:extLst>
                      <c:ext uri="{02D57815-91ED-43cb-92C2-25804820EDAC}">
                        <c15:formulaRef>
                          <c15:sqref>Sheet1!$B$418:$B$426</c15:sqref>
                        </c15:formulaRef>
                      </c:ext>
                    </c:extLst>
                    <c:strCache>
                      <c:ptCount val="9"/>
                      <c:pt idx="1">
                        <c:v>Pilngadību sasniegušo bērnu skaits</c:v>
                      </c:pt>
                      <c:pt idx="2">
                        <c:v>Vecāku aprūpē nodoto bērnu skaits pēc vecāku pilngadības sasniegšanas</c:v>
                      </c:pt>
                      <c:pt idx="3">
                        <c:v>Vecāku aprūpē nodoto bērnu skaits pēc vecāku veselības stāvokļa uzlabošanās</c:v>
                      </c:pt>
                      <c:pt idx="4">
                        <c:v>Vecāku aprūpē nodoto bērnu skaits pēc pārtraukto vai atņemto bērna aizgādības tiesību atjaunošanas vecākiem</c:v>
                      </c:pt>
                      <c:pt idx="5">
                        <c:v>Institūcijā ievietoto bērnu skaits</c:v>
                      </c:pt>
                      <c:pt idx="6">
                        <c:v>Citā audžuģimenē nodoto bērnu skaits</c:v>
                      </c:pt>
                      <c:pt idx="7">
                        <c:v>Aizbildnībā nodoto bērnu skaits</c:v>
                      </c:pt>
                      <c:pt idx="8">
                        <c:v>Adoptēto bērnu skaits</c:v>
                      </c:pt>
                    </c:strCache>
                  </c:strRef>
                </c:cat>
                <c:val>
                  <c:numRef>
                    <c:extLst>
                      <c:ext uri="{02D57815-91ED-43cb-92C2-25804820EDAC}">
                        <c15:formulaRef>
                          <c15:sqref>Sheet1!$D$418:$D$426</c15:sqref>
                        </c15:formulaRef>
                      </c:ext>
                    </c:extLst>
                    <c:numCache>
                      <c:formatCode>General</c:formatCode>
                      <c:ptCount val="9"/>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Sheet1!$E$417</c15:sqref>
                        </c15:formulaRef>
                      </c:ext>
                    </c:extLst>
                    <c:strCache>
                      <c:ptCount val="1"/>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Sheet1!$B$418:$B$426</c15:sqref>
                        </c15:formulaRef>
                      </c:ext>
                    </c:extLst>
                    <c:strCache>
                      <c:ptCount val="9"/>
                      <c:pt idx="1">
                        <c:v>Pilngadību sasniegušo bērnu skaits</c:v>
                      </c:pt>
                      <c:pt idx="2">
                        <c:v>Vecāku aprūpē nodoto bērnu skaits pēc vecāku pilngadības sasniegšanas</c:v>
                      </c:pt>
                      <c:pt idx="3">
                        <c:v>Vecāku aprūpē nodoto bērnu skaits pēc vecāku veselības stāvokļa uzlabošanās</c:v>
                      </c:pt>
                      <c:pt idx="4">
                        <c:v>Vecāku aprūpē nodoto bērnu skaits pēc pārtraukto vai atņemto bērna aizgādības tiesību atjaunošanas vecākiem</c:v>
                      </c:pt>
                      <c:pt idx="5">
                        <c:v>Institūcijā ievietoto bērnu skaits</c:v>
                      </c:pt>
                      <c:pt idx="6">
                        <c:v>Citā audžuģimenē nodoto bērnu skaits</c:v>
                      </c:pt>
                      <c:pt idx="7">
                        <c:v>Aizbildnībā nodoto bērnu skaits</c:v>
                      </c:pt>
                      <c:pt idx="8">
                        <c:v>Adoptēto bērnu skaits</c:v>
                      </c:pt>
                    </c:strCache>
                  </c:strRef>
                </c:cat>
                <c:val>
                  <c:numRef>
                    <c:extLst xmlns:c15="http://schemas.microsoft.com/office/drawing/2012/chart">
                      <c:ext xmlns:c15="http://schemas.microsoft.com/office/drawing/2012/chart" uri="{02D57815-91ED-43cb-92C2-25804820EDAC}">
                        <c15:formulaRef>
                          <c15:sqref>Sheet1!$E$418:$E$426</c15:sqref>
                        </c15:formulaRef>
                      </c:ext>
                    </c:extLst>
                    <c:numCache>
                      <c:formatCode>General</c:formatCode>
                      <c:ptCount val="9"/>
                    </c:numCache>
                  </c:numRef>
                </c:val>
              </c15:ser>
            </c15:filteredBarSeries>
          </c:ext>
        </c:extLst>
      </c:barChart>
      <c:catAx>
        <c:axId val="4419027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41903920"/>
        <c:crosses val="autoZero"/>
        <c:auto val="1"/>
        <c:lblAlgn val="ctr"/>
        <c:lblOffset val="100"/>
        <c:noMultiLvlLbl val="0"/>
      </c:catAx>
      <c:valAx>
        <c:axId val="4419039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1902744"/>
        <c:crosses val="autoZero"/>
        <c:crossBetween val="between"/>
      </c:valAx>
      <c:spPr>
        <a:noFill/>
        <a:ln>
          <a:noFill/>
        </a:ln>
        <a:effectLst/>
      </c:spPr>
    </c:plotArea>
    <c:plotVisOnly val="1"/>
    <c:dispBlanksAs val="gap"/>
    <c:showDLblsOverMax val="0"/>
  </c:chart>
  <c:spPr>
    <a:gradFill>
      <a:gsLst>
        <a:gs pos="55722">
          <a:srgbClr val="F7FDA5"/>
        </a:gs>
        <a:gs pos="0">
          <a:schemeClr val="bg1">
            <a:lumMod val="95000"/>
          </a:schemeClr>
        </a:gs>
        <a:gs pos="38058">
          <a:srgbClr val="F3FD77"/>
        </a:gs>
        <a:gs pos="74000">
          <a:srgbClr val="F3FD77"/>
        </a:gs>
        <a:gs pos="83000">
          <a:schemeClr val="accent4">
            <a:lumMod val="40000"/>
            <a:lumOff val="60000"/>
          </a:schemeClr>
        </a:gs>
        <a:gs pos="100000">
          <a:schemeClr val="accent4">
            <a:lumMod val="40000"/>
            <a:lumOff val="60000"/>
          </a:schemeClr>
        </a:gs>
      </a:gsLst>
      <a:lin ang="5400000" scaled="1"/>
    </a:gradFill>
    <a:ln w="15875" cap="flat" cmpd="sng" algn="ctr">
      <a:solidFill>
        <a:schemeClr val="tx1">
          <a:lumMod val="50000"/>
          <a:lumOff val="50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lv-LV" b="1" i="0" baseline="0">
                <a:solidFill>
                  <a:sysClr val="windowText" lastClr="000000"/>
                </a:solidFill>
              </a:rPr>
              <a:t>Personu skaits, kuras atzītas par adoptētājiem</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pieChart>
        <c:varyColors val="1"/>
        <c:ser>
          <c:idx val="0"/>
          <c:order val="0"/>
          <c:dPt>
            <c:idx val="0"/>
            <c:bubble3D val="0"/>
            <c:spPr>
              <a:solidFill>
                <a:schemeClr val="accent6">
                  <a:lumMod val="75000"/>
                </a:schemeClr>
              </a:solidFill>
              <a:ln w="19050">
                <a:solidFill>
                  <a:schemeClr val="lt1"/>
                </a:solidFill>
              </a:ln>
              <a:effectLst/>
            </c:spPr>
          </c:dPt>
          <c:dPt>
            <c:idx val="1"/>
            <c:bubble3D val="0"/>
            <c:spPr>
              <a:solidFill>
                <a:srgbClr val="FFC000"/>
              </a:solidFill>
              <a:ln w="19050">
                <a:solidFill>
                  <a:schemeClr val="lt1"/>
                </a:solidFill>
              </a:ln>
              <a:effectLst/>
            </c:spPr>
          </c:dPt>
          <c:dPt>
            <c:idx val="2"/>
            <c:bubble3D val="0"/>
            <c:spPr>
              <a:solidFill>
                <a:srgbClr val="AF4611"/>
              </a:solidFill>
              <a:ln w="19050">
                <a:solidFill>
                  <a:schemeClr val="lt1"/>
                </a:solidFill>
              </a:ln>
              <a:effectLst/>
            </c:spPr>
          </c:dPt>
          <c:dPt>
            <c:idx val="3"/>
            <c:bubble3D val="0"/>
            <c:spPr>
              <a:solidFill>
                <a:schemeClr val="accent1">
                  <a:lumMod val="75000"/>
                </a:schemeClr>
              </a:solidFill>
              <a:ln w="19050">
                <a:solidFill>
                  <a:schemeClr val="lt1"/>
                </a:solidFill>
              </a:ln>
              <a:effectLst/>
            </c:spPr>
          </c:dPt>
          <c:dLbls>
            <c:spPr>
              <a:solidFill>
                <a:schemeClr val="accent4">
                  <a:lumMod val="60000"/>
                  <a:lumOff val="40000"/>
                </a:schemeClr>
              </a:solid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Sheet1!$E$345:$E$348</c:f>
              <c:numCache>
                <c:formatCode>General</c:formatCode>
                <c:ptCount val="4"/>
                <c:pt idx="0">
                  <c:v>2012</c:v>
                </c:pt>
                <c:pt idx="1">
                  <c:v>2013</c:v>
                </c:pt>
                <c:pt idx="2">
                  <c:v>2014</c:v>
                </c:pt>
                <c:pt idx="3">
                  <c:v>2015</c:v>
                </c:pt>
              </c:numCache>
            </c:numRef>
          </c:cat>
          <c:val>
            <c:numRef>
              <c:f>Sheet1!$F$345:$F$348</c:f>
              <c:numCache>
                <c:formatCode>General</c:formatCode>
                <c:ptCount val="4"/>
                <c:pt idx="0">
                  <c:v>325</c:v>
                </c:pt>
                <c:pt idx="1">
                  <c:v>437</c:v>
                </c:pt>
                <c:pt idx="2">
                  <c:v>419</c:v>
                </c:pt>
                <c:pt idx="3">
                  <c:v>514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gradFill>
      <a:gsLst>
        <a:gs pos="0">
          <a:schemeClr val="accent6">
            <a:lumMod val="60000"/>
            <a:lumOff val="40000"/>
          </a:schemeClr>
        </a:gs>
        <a:gs pos="74000">
          <a:schemeClr val="accent6">
            <a:lumMod val="40000"/>
            <a:lumOff val="60000"/>
          </a:schemeClr>
        </a:gs>
        <a:gs pos="83000">
          <a:schemeClr val="accent6">
            <a:lumMod val="40000"/>
            <a:lumOff val="60000"/>
          </a:schemeClr>
        </a:gs>
        <a:gs pos="100000">
          <a:schemeClr val="accent6"/>
        </a:gs>
      </a:gsLst>
      <a:lin ang="5400000" scaled="1"/>
    </a:gradFill>
    <a:ln w="15875" cap="flat" cmpd="sng" algn="ctr">
      <a:solidFill>
        <a:schemeClr val="tx1">
          <a:lumMod val="65000"/>
          <a:lumOff val="3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i="0" baseline="0">
                <a:solidFill>
                  <a:sysClr val="windowText" lastClr="000000"/>
                </a:solidFill>
              </a:rPr>
              <a:t>Bērnu skaits, par kuriem pieņemts lēmums par adopciju uz ārvalstīm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4">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Sheet1!$E$339:$E$342</c:f>
              <c:numCache>
                <c:formatCode>General</c:formatCode>
                <c:ptCount val="4"/>
                <c:pt idx="0">
                  <c:v>2012</c:v>
                </c:pt>
                <c:pt idx="1">
                  <c:v>2013</c:v>
                </c:pt>
                <c:pt idx="2">
                  <c:v>2014</c:v>
                </c:pt>
                <c:pt idx="3">
                  <c:v>2015</c:v>
                </c:pt>
              </c:numCache>
            </c:numRef>
          </c:cat>
          <c:val>
            <c:numRef>
              <c:f>Sheet1!$F$339:$F$342</c:f>
              <c:numCache>
                <c:formatCode>General</c:formatCode>
                <c:ptCount val="4"/>
                <c:pt idx="0">
                  <c:v>247</c:v>
                </c:pt>
                <c:pt idx="1">
                  <c:v>208</c:v>
                </c:pt>
                <c:pt idx="2">
                  <c:v>231</c:v>
                </c:pt>
                <c:pt idx="3">
                  <c:v>183</c:v>
                </c:pt>
              </c:numCache>
            </c:numRef>
          </c:val>
        </c:ser>
        <c:dLbls>
          <c:showLegendKey val="0"/>
          <c:showVal val="0"/>
          <c:showCatName val="0"/>
          <c:showSerName val="0"/>
          <c:showPercent val="0"/>
          <c:showBubbleSize val="0"/>
        </c:dLbls>
        <c:gapWidth val="219"/>
        <c:overlap val="-27"/>
        <c:axId val="445266144"/>
        <c:axId val="445264968"/>
      </c:barChart>
      <c:catAx>
        <c:axId val="44526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45264968"/>
        <c:crosses val="autoZero"/>
        <c:auto val="1"/>
        <c:lblAlgn val="ctr"/>
        <c:lblOffset val="100"/>
        <c:noMultiLvlLbl val="0"/>
      </c:catAx>
      <c:valAx>
        <c:axId val="445264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5266144"/>
        <c:crosses val="autoZero"/>
        <c:crossBetween val="between"/>
      </c:valAx>
      <c:spPr>
        <a:gradFill>
          <a:gsLst>
            <a:gs pos="0">
              <a:schemeClr val="accent4">
                <a:lumMod val="40000"/>
                <a:lumOff val="6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plotArea>
    <c:plotVisOnly val="1"/>
    <c:dispBlanksAs val="gap"/>
    <c:showDLblsOverMax val="0"/>
  </c:chart>
  <c:spPr>
    <a:gradFill>
      <a:gsLst>
        <a:gs pos="0">
          <a:schemeClr val="accent4">
            <a:lumMod val="40000"/>
            <a:lumOff val="6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15875" cap="flat" cmpd="sng" algn="ctr">
      <a:solidFill>
        <a:schemeClr val="tx1">
          <a:lumMod val="65000"/>
          <a:lumOff val="35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aseline="0">
                <a:solidFill>
                  <a:sysClr val="windowText" lastClr="000000"/>
                </a:solidFill>
              </a:defRPr>
            </a:pPr>
            <a:r>
              <a:rPr lang="lv-LV" sz="1200" baseline="0">
                <a:solidFill>
                  <a:sysClr val="windowText" lastClr="000000"/>
                </a:solidFill>
              </a:rPr>
              <a:t>Bērnu skaits, par kuriem bāriņtiesas 2014.gadā pieņēmušas lēmumu par bērnu nodošanu adoptētāju aprūpē vai aprūpes izbeigšanu</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Sheet2!$C$5</c:f>
              <c:strCache>
                <c:ptCount val="1"/>
                <c:pt idx="0">
                  <c:v>2014</c:v>
                </c:pt>
              </c:strCache>
            </c:strRef>
          </c:tx>
          <c:dLbls>
            <c:dLbl>
              <c:idx val="1"/>
              <c:layout>
                <c:manualLayout>
                  <c:x val="7.386941358357603E-2"/>
                  <c:y val="7.248677506642939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400" b="1" i="0" baseline="0">
                    <a:solidFill>
                      <a:sysClr val="windowText" lastClr="000000"/>
                    </a:solidFill>
                  </a:defRPr>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Sheet2!$B$6:$B$7</c:f>
              <c:strCache>
                <c:ptCount val="2"/>
                <c:pt idx="0">
                  <c:v>Bērnu skaits,kuri nodoti adoptētāju aprūpē</c:v>
                </c:pt>
                <c:pt idx="1">
                  <c:v>Bērnu skaits,kuru uzturēšanās adoptētāja aprūpē izbeigta</c:v>
                </c:pt>
              </c:strCache>
            </c:strRef>
          </c:cat>
          <c:val>
            <c:numRef>
              <c:f>Sheet2!$C$6:$C$7</c:f>
              <c:numCache>
                <c:formatCode>General</c:formatCode>
                <c:ptCount val="2"/>
                <c:pt idx="0">
                  <c:v>295</c:v>
                </c:pt>
                <c:pt idx="1">
                  <c:v>25</c:v>
                </c:pt>
              </c:numCache>
            </c:numRef>
          </c:val>
        </c:ser>
        <c:dLbls>
          <c:showLegendKey val="0"/>
          <c:showVal val="0"/>
          <c:showCatName val="0"/>
          <c:showSerName val="0"/>
          <c:showPercent val="0"/>
          <c:showBubbleSize val="0"/>
          <c:showLeaderLines val="1"/>
        </c:dLbls>
      </c:pie3DChart>
    </c:plotArea>
    <c:legend>
      <c:legendPos val="b"/>
      <c:layout>
        <c:manualLayout>
          <c:xMode val="edge"/>
          <c:yMode val="edge"/>
          <c:x val="8.339993215133823E-2"/>
          <c:y val="0.70473769482518389"/>
          <c:w val="0.83773492599139399"/>
          <c:h val="0.27057094715012475"/>
        </c:manualLayout>
      </c:layout>
      <c:overlay val="0"/>
    </c:legend>
    <c:plotVisOnly val="1"/>
    <c:dispBlanksAs val="gap"/>
    <c:showDLblsOverMax val="0"/>
  </c:chart>
  <c:spPr>
    <a:ln w="19050" cmpd="sng"/>
  </c:sp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v-LV" sz="1200"/>
              <a:t>Bērnu skaits, par kuriem bāriņtiesas 2015.gadā pieņēmušas lēmumu par bērnu nodošanu adoptētāju aprūpē vai aprūpes izbeigšanu</a:t>
            </a:r>
          </a:p>
        </c:rich>
      </c:tx>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0"/>
          <c:y val="0.35472490384076621"/>
          <c:w val="0.95075792664954317"/>
          <c:h val="0.35125031723483285"/>
        </c:manualLayout>
      </c:layout>
      <c:pie3DChart>
        <c:varyColors val="1"/>
        <c:ser>
          <c:idx val="0"/>
          <c:order val="0"/>
          <c:tx>
            <c:strRef>
              <c:f>Sheet2!$C$5</c:f>
              <c:strCache>
                <c:ptCount val="1"/>
                <c:pt idx="0">
                  <c:v>2015</c:v>
                </c:pt>
              </c:strCache>
            </c:strRef>
          </c:tx>
          <c:dLbls>
            <c:dLbl>
              <c:idx val="1"/>
              <c:layout>
                <c:manualLayout>
                  <c:x val="6.9685039370078736E-2"/>
                  <c:y val="9.227792136669930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400" b="1" i="0" baseline="0">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extLst>
          </c:dLbls>
          <c:cat>
            <c:strRef>
              <c:f>Sheet2!$B$6:$B$7</c:f>
              <c:strCache>
                <c:ptCount val="2"/>
                <c:pt idx="0">
                  <c:v>Bērnu skaits,kuri nodoti adoptētāju aprūpē</c:v>
                </c:pt>
                <c:pt idx="1">
                  <c:v>Bērnu skaits,kuru uzturēšanās adoptētāja aprūpē izbeigta</c:v>
                </c:pt>
              </c:strCache>
            </c:strRef>
          </c:cat>
          <c:val>
            <c:numRef>
              <c:f>Sheet2!$C$6:$C$7</c:f>
              <c:numCache>
                <c:formatCode>General</c:formatCode>
                <c:ptCount val="2"/>
                <c:pt idx="0">
                  <c:v>270</c:v>
                </c:pt>
                <c:pt idx="1">
                  <c:v>32</c:v>
                </c:pt>
              </c:numCache>
            </c:numRef>
          </c:val>
        </c:ser>
        <c:dLbls>
          <c:showLegendKey val="0"/>
          <c:showVal val="0"/>
          <c:showCatName val="0"/>
          <c:showSerName val="0"/>
          <c:showPercent val="0"/>
          <c:showBubbleSize val="0"/>
          <c:showLeaderLines val="0"/>
        </c:dLbls>
      </c:pie3DChart>
    </c:plotArea>
    <c:legend>
      <c:legendPos val="b"/>
      <c:layout>
        <c:manualLayout>
          <c:xMode val="edge"/>
          <c:yMode val="edge"/>
          <c:x val="7.6430470937774317E-2"/>
          <c:y val="0.76543439116132617"/>
          <c:w val="0.87542093415556144"/>
          <c:h val="0.19175433520328328"/>
        </c:manualLayout>
      </c:layout>
      <c:overlay val="0"/>
    </c:legend>
    <c:plotVisOnly val="1"/>
    <c:dispBlanksAs val="gap"/>
    <c:showDLblsOverMax val="0"/>
  </c:chart>
  <c:spPr>
    <a:ln w="19050" cmpd="sng"/>
  </c:sp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350" b="1" baseline="0">
                <a:solidFill>
                  <a:sysClr val="windowText" lastClr="000000"/>
                </a:solidFill>
              </a:rPr>
              <a:t>Bērnu</a:t>
            </a:r>
            <a:r>
              <a:rPr lang="lv-LV" sz="1350" b="1" baseline="0">
                <a:solidFill>
                  <a:sysClr val="windowText" lastClr="000000"/>
                </a:solidFill>
              </a:rPr>
              <a:t> skaits, par kuriem 2015.gadā pieņemts lēmums, ka adopcija ir bērna interesēs</a:t>
            </a:r>
            <a:endParaRPr lang="en-US" sz="1350" b="1" baseline="0">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1"/>
          <c:order val="1"/>
          <c:spPr>
            <a:solidFill>
              <a:schemeClr val="accent2"/>
            </a:solidFill>
            <a:ln>
              <a:noFill/>
            </a:ln>
            <a:effectLst/>
          </c:spPr>
          <c:invertIfNegative val="0"/>
          <c:cat>
            <c:strRef>
              <c:f>Sheet1!$E$358:$E$361</c:f>
              <c:strCache>
                <c:ptCount val="4"/>
                <c:pt idx="0">
                  <c:v>Bērnu skaits, kuri ievietoti audžuģimenē</c:v>
                </c:pt>
                <c:pt idx="1">
                  <c:v>Bērnu skaits, kuri ievietoti aizbildņa ģimenē</c:v>
                </c:pt>
                <c:pt idx="2">
                  <c:v>Bērnu skaits, kuri ievietoti institūcijā</c:v>
                </c:pt>
                <c:pt idx="3">
                  <c:v>Bērnu skaits, kurus vēlējās adoptēt otrs laulātais</c:v>
                </c:pt>
              </c:strCache>
            </c:strRef>
          </c:cat>
          <c:val>
            <c:numRef>
              <c:f>Sheet1!$G$358:$G$361</c:f>
            </c:numRef>
          </c:val>
        </c:ser>
        <c:ser>
          <c:idx val="2"/>
          <c:order val="2"/>
          <c:spPr>
            <a:solidFill>
              <a:schemeClr val="accent3"/>
            </a:solidFill>
            <a:ln>
              <a:noFill/>
            </a:ln>
            <a:effectLst/>
          </c:spPr>
          <c:invertIfNegative val="0"/>
          <c:cat>
            <c:strRef>
              <c:f>Sheet1!$E$358:$E$361</c:f>
              <c:strCache>
                <c:ptCount val="4"/>
                <c:pt idx="0">
                  <c:v>Bērnu skaits, kuri ievietoti audžuģimenē</c:v>
                </c:pt>
                <c:pt idx="1">
                  <c:v>Bērnu skaits, kuri ievietoti aizbildņa ģimenē</c:v>
                </c:pt>
                <c:pt idx="2">
                  <c:v>Bērnu skaits, kuri ievietoti institūcijā</c:v>
                </c:pt>
                <c:pt idx="3">
                  <c:v>Bērnu skaits, kurus vēlējās adoptēt otrs laulātais</c:v>
                </c:pt>
              </c:strCache>
            </c:strRef>
          </c:cat>
          <c:val>
            <c:numRef>
              <c:f>Sheet1!$H$358:$H$361</c:f>
            </c:numRef>
          </c:val>
        </c:ser>
        <c:ser>
          <c:idx val="3"/>
          <c:order val="3"/>
          <c:spPr>
            <a:solidFill>
              <a:schemeClr val="accent4"/>
            </a:solidFill>
            <a:ln>
              <a:noFill/>
            </a:ln>
            <a:effectLst/>
          </c:spPr>
          <c:invertIfNegative val="0"/>
          <c:cat>
            <c:strRef>
              <c:f>Sheet1!$E$358:$E$361</c:f>
              <c:strCache>
                <c:ptCount val="4"/>
                <c:pt idx="0">
                  <c:v>Bērnu skaits, kuri ievietoti audžuģimenē</c:v>
                </c:pt>
                <c:pt idx="1">
                  <c:v>Bērnu skaits, kuri ievietoti aizbildņa ģimenē</c:v>
                </c:pt>
                <c:pt idx="2">
                  <c:v>Bērnu skaits, kuri ievietoti institūcijā</c:v>
                </c:pt>
                <c:pt idx="3">
                  <c:v>Bērnu skaits, kurus vēlējās adoptēt otrs laulātais</c:v>
                </c:pt>
              </c:strCache>
            </c:strRef>
          </c:cat>
          <c:val>
            <c:numRef>
              <c:f>Sheet1!$I$358:$I$361</c:f>
            </c:numRef>
          </c:val>
        </c:ser>
        <c:ser>
          <c:idx val="4"/>
          <c:order val="4"/>
          <c:spPr>
            <a:solidFill>
              <a:schemeClr val="accent5"/>
            </a:solidFill>
            <a:ln>
              <a:noFill/>
            </a:ln>
            <a:effectLst/>
          </c:spPr>
          <c:invertIfNegative val="0"/>
          <c:cat>
            <c:strRef>
              <c:f>Sheet1!$E$358:$E$361</c:f>
              <c:strCache>
                <c:ptCount val="4"/>
                <c:pt idx="0">
                  <c:v>Bērnu skaits, kuri ievietoti audžuģimenē</c:v>
                </c:pt>
                <c:pt idx="1">
                  <c:v>Bērnu skaits, kuri ievietoti aizbildņa ģimenē</c:v>
                </c:pt>
                <c:pt idx="2">
                  <c:v>Bērnu skaits, kuri ievietoti institūcijā</c:v>
                </c:pt>
                <c:pt idx="3">
                  <c:v>Bērnu skaits, kurus vēlējās adoptēt otrs laulātais</c:v>
                </c:pt>
              </c:strCache>
            </c:strRef>
          </c:cat>
          <c:val>
            <c:numRef>
              <c:f>Sheet1!$J$358:$J$361</c:f>
            </c:numRef>
          </c:val>
        </c:ser>
        <c:ser>
          <c:idx val="5"/>
          <c:order val="5"/>
          <c:spPr>
            <a:solidFill>
              <a:schemeClr val="accent6"/>
            </a:solidFill>
            <a:ln>
              <a:noFill/>
            </a:ln>
            <a:effectLst/>
          </c:spPr>
          <c:invertIfNegative val="0"/>
          <c:cat>
            <c:strRef>
              <c:f>Sheet1!$E$358:$E$361</c:f>
              <c:strCache>
                <c:ptCount val="4"/>
                <c:pt idx="0">
                  <c:v>Bērnu skaits, kuri ievietoti audžuģimenē</c:v>
                </c:pt>
                <c:pt idx="1">
                  <c:v>Bērnu skaits, kuri ievietoti aizbildņa ģimenē</c:v>
                </c:pt>
                <c:pt idx="2">
                  <c:v>Bērnu skaits, kuri ievietoti institūcijā</c:v>
                </c:pt>
                <c:pt idx="3">
                  <c:v>Bērnu skaits, kurus vēlējās adoptēt otrs laulātais</c:v>
                </c:pt>
              </c:strCache>
            </c:strRef>
          </c:cat>
          <c:val>
            <c:numRef>
              <c:f>Sheet1!$K$358:$K$361</c:f>
            </c:numRef>
          </c:val>
        </c:ser>
        <c:ser>
          <c:idx val="6"/>
          <c:order val="6"/>
          <c:spPr>
            <a:solidFill>
              <a:schemeClr val="accent6">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Sheet1!$E$358:$E$361</c:f>
              <c:strCache>
                <c:ptCount val="4"/>
                <c:pt idx="0">
                  <c:v>Bērnu skaits, kuri ievietoti audžuģimenē</c:v>
                </c:pt>
                <c:pt idx="1">
                  <c:v>Bērnu skaits, kuri ievietoti aizbildņa ģimenē</c:v>
                </c:pt>
                <c:pt idx="2">
                  <c:v>Bērnu skaits, kuri ievietoti institūcijā</c:v>
                </c:pt>
                <c:pt idx="3">
                  <c:v>Bērnu skaits, kurus vēlējās adoptēt otrs laulātais</c:v>
                </c:pt>
              </c:strCache>
            </c:strRef>
          </c:cat>
          <c:val>
            <c:numRef>
              <c:f>Sheet1!$L$358:$L$361</c:f>
              <c:numCache>
                <c:formatCode>General</c:formatCode>
                <c:ptCount val="4"/>
                <c:pt idx="0">
                  <c:v>113</c:v>
                </c:pt>
                <c:pt idx="1">
                  <c:v>35</c:v>
                </c:pt>
                <c:pt idx="2">
                  <c:v>135</c:v>
                </c:pt>
                <c:pt idx="3">
                  <c:v>54</c:v>
                </c:pt>
              </c:numCache>
            </c:numRef>
          </c:val>
        </c:ser>
        <c:dLbls>
          <c:showLegendKey val="0"/>
          <c:showVal val="0"/>
          <c:showCatName val="0"/>
          <c:showSerName val="0"/>
          <c:showPercent val="0"/>
          <c:showBubbleSize val="0"/>
        </c:dLbls>
        <c:gapWidth val="182"/>
        <c:axId val="499910984"/>
        <c:axId val="513060936"/>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Sheet1!$E$358:$E$361</c15:sqref>
                        </c15:formulaRef>
                      </c:ext>
                    </c:extLst>
                    <c:strCache>
                      <c:ptCount val="4"/>
                      <c:pt idx="0">
                        <c:v>Bērnu skaits, kuri ievietoti audžuģimenē</c:v>
                      </c:pt>
                      <c:pt idx="1">
                        <c:v>Bērnu skaits, kuri ievietoti aizbildņa ģimenē</c:v>
                      </c:pt>
                      <c:pt idx="2">
                        <c:v>Bērnu skaits, kuri ievietoti institūcijā</c:v>
                      </c:pt>
                      <c:pt idx="3">
                        <c:v>Bērnu skaits, kurus vēlējās adoptēt otrs laulātais</c:v>
                      </c:pt>
                    </c:strCache>
                  </c:strRef>
                </c:cat>
                <c:val>
                  <c:numRef>
                    <c:extLst>
                      <c:ext uri="{02D57815-91ED-43cb-92C2-25804820EDAC}">
                        <c15:formulaRef>
                          <c15:sqref>Sheet1!$F$358:$F$361</c15:sqref>
                        </c15:formulaRef>
                      </c:ext>
                    </c:extLst>
                    <c:numCache>
                      <c:formatCode>General</c:formatCode>
                      <c:ptCount val="4"/>
                    </c:numCache>
                  </c:numRef>
                </c:val>
              </c15:ser>
            </c15:filteredBarSeries>
          </c:ext>
        </c:extLst>
      </c:barChart>
      <c:catAx>
        <c:axId val="4999109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13060936"/>
        <c:crosses val="autoZero"/>
        <c:auto val="1"/>
        <c:lblAlgn val="ctr"/>
        <c:lblOffset val="100"/>
        <c:noMultiLvlLbl val="0"/>
      </c:catAx>
      <c:valAx>
        <c:axId val="5130609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15875">
            <a:solidFill>
              <a:schemeClr val="tx1">
                <a:lumMod val="65000"/>
                <a:lumOff val="3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9910984"/>
        <c:crosses val="autoZero"/>
        <c:crossBetween val="between"/>
      </c:valAx>
      <c:spPr>
        <a:noFill/>
        <a:ln>
          <a:noFill/>
        </a:ln>
        <a:effectLst/>
      </c:spPr>
    </c:plotArea>
    <c:plotVisOnly val="1"/>
    <c:dispBlanksAs val="gap"/>
    <c:showDLblsOverMax val="0"/>
  </c:chart>
  <c:spPr>
    <a:gradFill>
      <a:gsLst>
        <a:gs pos="0">
          <a:schemeClr val="accent6">
            <a:lumMod val="60000"/>
            <a:lumOff val="40000"/>
          </a:schemeClr>
        </a:gs>
        <a:gs pos="74000">
          <a:schemeClr val="accent6">
            <a:lumMod val="40000"/>
            <a:lumOff val="60000"/>
          </a:schemeClr>
        </a:gs>
        <a:gs pos="83000">
          <a:schemeClr val="accent6">
            <a:lumMod val="40000"/>
            <a:lumOff val="60000"/>
          </a:schemeClr>
        </a:gs>
        <a:gs pos="29230">
          <a:schemeClr val="accent6">
            <a:lumMod val="20000"/>
            <a:lumOff val="80000"/>
          </a:schemeClr>
        </a:gs>
        <a:gs pos="100000">
          <a:schemeClr val="accent6">
            <a:lumMod val="40000"/>
            <a:lumOff val="60000"/>
          </a:schemeClr>
        </a:gs>
      </a:gsLst>
      <a:lin ang="5400000" scaled="1"/>
    </a:gradFill>
    <a:ln w="15875" cap="flat" cmpd="sng" algn="ctr">
      <a:solidFill>
        <a:schemeClr val="tx1">
          <a:lumMod val="65000"/>
          <a:lumOff val="35000"/>
        </a:schemeClr>
      </a:solid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v-LV" sz="1400" baseline="0"/>
              <a:t>Bērnu skaits,kurus vecāki nodevuši citas personas aprūpē uz laiku,kas ilgāks par 3 mēnešiem</a:t>
            </a:r>
            <a:endParaRPr lang="en-US" sz="1400" baseline="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Sheet2!$D$84</c:f>
              <c:strCache>
                <c:ptCount val="1"/>
                <c:pt idx="0">
                  <c:v>jhjh</c:v>
                </c:pt>
              </c:strCache>
            </c:strRef>
          </c:tx>
          <c:spPr>
            <a:solidFill>
              <a:srgbClr val="00B050"/>
            </a:solidFill>
          </c:spPr>
          <c:invertIfNegative val="0"/>
          <c:dLbls>
            <c:dLbl>
              <c:idx val="0"/>
              <c:layout>
                <c:manualLayout>
                  <c:x val="1.9444444444444445E-2"/>
                  <c:y val="-4.166666666666666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1111111111111112E-2"/>
                  <c:y val="-3.7037037037037077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6666666666666566E-2"/>
                  <c:y val="-3.703703703703703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400" b="1" i="0" baseline="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Sheet2!$C$85:$C$89</c:f>
              <c:numCache>
                <c:formatCode>General</c:formatCode>
                <c:ptCount val="5"/>
                <c:pt idx="0">
                  <c:v>2011</c:v>
                </c:pt>
                <c:pt idx="1">
                  <c:v>2012</c:v>
                </c:pt>
                <c:pt idx="2">
                  <c:v>2013</c:v>
                </c:pt>
                <c:pt idx="3">
                  <c:v>2014</c:v>
                </c:pt>
                <c:pt idx="4">
                  <c:v>2015</c:v>
                </c:pt>
              </c:numCache>
            </c:numRef>
          </c:cat>
          <c:val>
            <c:numRef>
              <c:f>Sheet2!$D$85:$D$89</c:f>
              <c:numCache>
                <c:formatCode>General</c:formatCode>
                <c:ptCount val="5"/>
                <c:pt idx="0">
                  <c:v>582</c:v>
                </c:pt>
                <c:pt idx="1">
                  <c:v>476</c:v>
                </c:pt>
                <c:pt idx="2">
                  <c:v>426</c:v>
                </c:pt>
                <c:pt idx="3">
                  <c:v>316</c:v>
                </c:pt>
                <c:pt idx="4">
                  <c:v>287</c:v>
                </c:pt>
              </c:numCache>
            </c:numRef>
          </c:val>
        </c:ser>
        <c:dLbls>
          <c:showLegendKey val="0"/>
          <c:showVal val="0"/>
          <c:showCatName val="0"/>
          <c:showSerName val="0"/>
          <c:showPercent val="0"/>
          <c:showBubbleSize val="0"/>
        </c:dLbls>
        <c:gapWidth val="150"/>
        <c:shape val="cylinder"/>
        <c:axId val="513060152"/>
        <c:axId val="513056232"/>
        <c:axId val="0"/>
      </c:bar3DChart>
      <c:catAx>
        <c:axId val="513060152"/>
        <c:scaling>
          <c:orientation val="minMax"/>
        </c:scaling>
        <c:delete val="0"/>
        <c:axPos val="b"/>
        <c:numFmt formatCode="General" sourceLinked="1"/>
        <c:majorTickMark val="out"/>
        <c:minorTickMark val="none"/>
        <c:tickLblPos val="nextTo"/>
        <c:txPr>
          <a:bodyPr/>
          <a:lstStyle/>
          <a:p>
            <a:pPr>
              <a:defRPr b="1" i="0" baseline="0"/>
            </a:pPr>
            <a:endParaRPr lang="en-US"/>
          </a:p>
        </c:txPr>
        <c:crossAx val="513056232"/>
        <c:crosses val="autoZero"/>
        <c:auto val="1"/>
        <c:lblAlgn val="ctr"/>
        <c:lblOffset val="100"/>
        <c:noMultiLvlLbl val="0"/>
      </c:catAx>
      <c:valAx>
        <c:axId val="513056232"/>
        <c:scaling>
          <c:orientation val="minMax"/>
        </c:scaling>
        <c:delete val="0"/>
        <c:axPos val="l"/>
        <c:majorGridlines>
          <c:spPr>
            <a:ln>
              <a:solidFill>
                <a:srgbClr val="FFCC66"/>
              </a:solidFill>
            </a:ln>
          </c:spPr>
        </c:majorGridlines>
        <c:numFmt formatCode="General" sourceLinked="1"/>
        <c:majorTickMark val="out"/>
        <c:minorTickMark val="none"/>
        <c:tickLblPos val="nextTo"/>
        <c:crossAx val="513060152"/>
        <c:crosses val="autoZero"/>
        <c:crossBetween val="between"/>
      </c:valAx>
      <c:spPr>
        <a:gradFill>
          <a:gsLst>
            <a:gs pos="0">
              <a:schemeClr val="accent4">
                <a:lumMod val="40000"/>
                <a:lumOff val="60000"/>
              </a:schemeClr>
            </a:gs>
            <a:gs pos="50000">
              <a:schemeClr val="accent1">
                <a:tint val="44500"/>
                <a:satMod val="160000"/>
              </a:schemeClr>
            </a:gs>
            <a:gs pos="100000">
              <a:schemeClr val="accent1">
                <a:tint val="23500"/>
                <a:satMod val="160000"/>
              </a:schemeClr>
            </a:gs>
          </a:gsLst>
          <a:lin ang="5400000" scaled="0"/>
        </a:gradFill>
      </c:spPr>
    </c:plotArea>
    <c:plotVisOnly val="1"/>
    <c:dispBlanksAs val="gap"/>
    <c:showDLblsOverMax val="0"/>
  </c:chart>
  <c:spPr>
    <a:gradFill>
      <a:gsLst>
        <a:gs pos="0">
          <a:schemeClr val="accent4">
            <a:lumMod val="60000"/>
            <a:lumOff val="40000"/>
          </a:schemeClr>
        </a:gs>
        <a:gs pos="50000">
          <a:schemeClr val="accent1">
            <a:tint val="44500"/>
            <a:satMod val="160000"/>
          </a:schemeClr>
        </a:gs>
        <a:gs pos="100000">
          <a:schemeClr val="accent1">
            <a:tint val="23500"/>
            <a:satMod val="160000"/>
          </a:schemeClr>
        </a:gs>
      </a:gsLst>
      <a:lin ang="5400000" scaled="0"/>
    </a:gradFill>
    <a:ln w="15875" cmpd="sng"/>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solidFill>
                  <a:sysClr val="windowText" lastClr="000000"/>
                </a:solidFill>
              </a:rPr>
              <a:t>Aizgādības tiesību pārtraukšana</a:t>
            </a:r>
            <a:endParaRPr lang="en-GB"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3"/>
          <c:order val="3"/>
          <c:tx>
            <c:strRef>
              <c:f>Sheet1!$F$190</c:f>
              <c:strCache>
                <c:ptCount val="1"/>
                <c:pt idx="0">
                  <c:v>2012</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Sheet1!$B$191:$B$192</c:f>
              <c:strCache>
                <c:ptCount val="2"/>
                <c:pt idx="0">
                  <c:v>Personu skaits, kurām pārtrauktas aizgādības tiesības</c:v>
                </c:pt>
                <c:pt idx="1">
                  <c:v>Personu skaits, kurām pārtrauktas aizgādības tiesības, ja konstatēta vecāku vardarbība pret bērnu vai ir pamatotas aizdomas par vardarbību pret bērnu</c:v>
                </c:pt>
              </c:strCache>
            </c:strRef>
          </c:cat>
          <c:val>
            <c:numRef>
              <c:f>Sheet1!$F$191:$F$192</c:f>
              <c:numCache>
                <c:formatCode>General</c:formatCode>
                <c:ptCount val="2"/>
                <c:pt idx="0">
                  <c:v>1876</c:v>
                </c:pt>
                <c:pt idx="1">
                  <c:v>186</c:v>
                </c:pt>
              </c:numCache>
            </c:numRef>
          </c:val>
        </c:ser>
        <c:ser>
          <c:idx val="4"/>
          <c:order val="4"/>
          <c:tx>
            <c:strRef>
              <c:f>Sheet1!$G$190</c:f>
              <c:strCache>
                <c:ptCount val="1"/>
                <c:pt idx="0">
                  <c:v>2013</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Sheet1!$B$191:$B$192</c:f>
              <c:strCache>
                <c:ptCount val="2"/>
                <c:pt idx="0">
                  <c:v>Personu skaits, kurām pārtrauktas aizgādības tiesības</c:v>
                </c:pt>
                <c:pt idx="1">
                  <c:v>Personu skaits, kurām pārtrauktas aizgādības tiesības, ja konstatēta vecāku vardarbība pret bērnu vai ir pamatotas aizdomas par vardarbību pret bērnu</c:v>
                </c:pt>
              </c:strCache>
            </c:strRef>
          </c:cat>
          <c:val>
            <c:numRef>
              <c:f>Sheet1!$G$191:$G$192</c:f>
              <c:numCache>
                <c:formatCode>General</c:formatCode>
                <c:ptCount val="2"/>
                <c:pt idx="0">
                  <c:v>1799</c:v>
                </c:pt>
                <c:pt idx="1">
                  <c:v>216</c:v>
                </c:pt>
              </c:numCache>
            </c:numRef>
          </c:val>
        </c:ser>
        <c:ser>
          <c:idx val="5"/>
          <c:order val="5"/>
          <c:tx>
            <c:strRef>
              <c:f>Sheet1!$H$190</c:f>
              <c:strCache>
                <c:ptCount val="1"/>
                <c:pt idx="0">
                  <c:v>2014</c:v>
                </c:pt>
              </c:strCache>
            </c:strRef>
          </c:tx>
          <c:spPr>
            <a:solidFill>
              <a:srgbClr val="0099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Sheet1!$B$191:$B$192</c:f>
              <c:strCache>
                <c:ptCount val="2"/>
                <c:pt idx="0">
                  <c:v>Personu skaits, kurām pārtrauktas aizgādības tiesības</c:v>
                </c:pt>
                <c:pt idx="1">
                  <c:v>Personu skaits, kurām pārtrauktas aizgādības tiesības, ja konstatēta vecāku vardarbība pret bērnu vai ir pamatotas aizdomas par vardarbību pret bērnu</c:v>
                </c:pt>
              </c:strCache>
            </c:strRef>
          </c:cat>
          <c:val>
            <c:numRef>
              <c:f>Sheet1!$H$191:$H$192</c:f>
              <c:numCache>
                <c:formatCode>General</c:formatCode>
                <c:ptCount val="2"/>
                <c:pt idx="0">
                  <c:v>1404</c:v>
                </c:pt>
                <c:pt idx="1">
                  <c:v>176</c:v>
                </c:pt>
              </c:numCache>
            </c:numRef>
          </c:val>
        </c:ser>
        <c:ser>
          <c:idx val="6"/>
          <c:order val="6"/>
          <c:tx>
            <c:strRef>
              <c:f>Sheet1!$I$190</c:f>
              <c:strCache>
                <c:ptCount val="1"/>
                <c:pt idx="0">
                  <c:v>2015</c:v>
                </c:pt>
              </c:strCache>
            </c:strRef>
          </c:tx>
          <c:spPr>
            <a:solidFill>
              <a:srgbClr val="C60AA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Sheet1!$B$191:$B$192</c:f>
              <c:strCache>
                <c:ptCount val="2"/>
                <c:pt idx="0">
                  <c:v>Personu skaits, kurām pārtrauktas aizgādības tiesības</c:v>
                </c:pt>
                <c:pt idx="1">
                  <c:v>Personu skaits, kurām pārtrauktas aizgādības tiesības, ja konstatēta vecāku vardarbība pret bērnu vai ir pamatotas aizdomas par vardarbību pret bērnu</c:v>
                </c:pt>
              </c:strCache>
            </c:strRef>
          </c:cat>
          <c:val>
            <c:numRef>
              <c:f>Sheet1!$I$191:$I$192</c:f>
              <c:numCache>
                <c:formatCode>General</c:formatCode>
                <c:ptCount val="2"/>
                <c:pt idx="0">
                  <c:v>1235</c:v>
                </c:pt>
                <c:pt idx="1">
                  <c:v>185</c:v>
                </c:pt>
              </c:numCache>
            </c:numRef>
          </c:val>
        </c:ser>
        <c:dLbls>
          <c:showLegendKey val="0"/>
          <c:showVal val="0"/>
          <c:showCatName val="0"/>
          <c:showSerName val="0"/>
          <c:showPercent val="0"/>
          <c:showBubbleSize val="0"/>
        </c:dLbls>
        <c:gapWidth val="219"/>
        <c:overlap val="-27"/>
        <c:axId val="438290368"/>
        <c:axId val="504759688"/>
        <c:extLst>
          <c:ext xmlns:c15="http://schemas.microsoft.com/office/drawing/2012/chart" uri="{02D57815-91ED-43cb-92C2-25804820EDAC}">
            <c15:filteredBarSeries>
              <c15:ser>
                <c:idx val="0"/>
                <c:order val="0"/>
                <c:tx>
                  <c:strRef>
                    <c:extLst>
                      <c:ext uri="{02D57815-91ED-43cb-92C2-25804820EDAC}">
                        <c15:formulaRef>
                          <c15:sqref>Sheet1!$C$190</c15:sqref>
                        </c15:formulaRef>
                      </c:ext>
                    </c:extLst>
                    <c:strCache>
                      <c:ptCount val="1"/>
                    </c:strCache>
                  </c:strRef>
                </c:tx>
                <c:spPr>
                  <a:solidFill>
                    <a:schemeClr val="accent1"/>
                  </a:solidFill>
                  <a:ln>
                    <a:noFill/>
                  </a:ln>
                  <a:effectLst/>
                </c:spPr>
                <c:invertIfNegative val="0"/>
                <c:cat>
                  <c:strRef>
                    <c:extLst>
                      <c:ext uri="{02D57815-91ED-43cb-92C2-25804820EDAC}">
                        <c15:formulaRef>
                          <c15:sqref>Sheet1!$B$191:$B$192</c15:sqref>
                        </c15:formulaRef>
                      </c:ext>
                    </c:extLst>
                    <c:strCache>
                      <c:ptCount val="2"/>
                      <c:pt idx="0">
                        <c:v>Personu skaits, kurām pārtrauktas aizgādības tiesības</c:v>
                      </c:pt>
                      <c:pt idx="1">
                        <c:v>Personu skaits, kurām pārtrauktas aizgādības tiesības, ja konstatēta vecāku vardarbība pret bērnu vai ir pamatotas aizdomas par vardarbību pret bērnu</c:v>
                      </c:pt>
                    </c:strCache>
                  </c:strRef>
                </c:cat>
                <c:val>
                  <c:numRef>
                    <c:extLst>
                      <c:ext uri="{02D57815-91ED-43cb-92C2-25804820EDAC}">
                        <c15:formulaRef>
                          <c15:sqref>Sheet1!$C$191:$C$192</c15:sqref>
                        </c15:formulaRef>
                      </c:ext>
                    </c:extLst>
                    <c:numCache>
                      <c:formatCode>General</c:formatCode>
                      <c:ptCount val="2"/>
                    </c:numCache>
                  </c:numRef>
                </c:val>
              </c15:ser>
            </c15:filteredBarSeries>
            <c15:filteredBarSeries>
              <c15:ser>
                <c:idx val="1"/>
                <c:order val="1"/>
                <c:tx>
                  <c:strRef>
                    <c:extLst xmlns:c15="http://schemas.microsoft.com/office/drawing/2012/chart">
                      <c:ext xmlns:c15="http://schemas.microsoft.com/office/drawing/2012/chart" uri="{02D57815-91ED-43cb-92C2-25804820EDAC}">
                        <c15:formulaRef>
                          <c15:sqref>Sheet1!$D$190</c15:sqref>
                        </c15:formulaRef>
                      </c:ext>
                    </c:extLst>
                    <c:strCache>
                      <c:ptCount val="1"/>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Sheet1!$B$191:$B$192</c15:sqref>
                        </c15:formulaRef>
                      </c:ext>
                    </c:extLst>
                    <c:strCache>
                      <c:ptCount val="2"/>
                      <c:pt idx="0">
                        <c:v>Personu skaits, kurām pārtrauktas aizgādības tiesības</c:v>
                      </c:pt>
                      <c:pt idx="1">
                        <c:v>Personu skaits, kurām pārtrauktas aizgādības tiesības, ja konstatēta vecāku vardarbība pret bērnu vai ir pamatotas aizdomas par vardarbību pret bērnu</c:v>
                      </c:pt>
                    </c:strCache>
                  </c:strRef>
                </c:cat>
                <c:val>
                  <c:numRef>
                    <c:extLst xmlns:c15="http://schemas.microsoft.com/office/drawing/2012/chart">
                      <c:ext xmlns:c15="http://schemas.microsoft.com/office/drawing/2012/chart" uri="{02D57815-91ED-43cb-92C2-25804820EDAC}">
                        <c15:formulaRef>
                          <c15:sqref>Sheet1!$D$191:$D$192</c15:sqref>
                        </c15:formulaRef>
                      </c:ext>
                    </c:extLst>
                    <c:numCache>
                      <c:formatCode>General</c:formatCode>
                      <c:ptCount val="2"/>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Sheet1!$E$190</c15:sqref>
                        </c15:formulaRef>
                      </c:ext>
                    </c:extLst>
                    <c:strCache>
                      <c:ptCount val="1"/>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Sheet1!$B$191:$B$192</c15:sqref>
                        </c15:formulaRef>
                      </c:ext>
                    </c:extLst>
                    <c:strCache>
                      <c:ptCount val="2"/>
                      <c:pt idx="0">
                        <c:v>Personu skaits, kurām pārtrauktas aizgādības tiesības</c:v>
                      </c:pt>
                      <c:pt idx="1">
                        <c:v>Personu skaits, kurām pārtrauktas aizgādības tiesības, ja konstatēta vecāku vardarbība pret bērnu vai ir pamatotas aizdomas par vardarbību pret bērnu</c:v>
                      </c:pt>
                    </c:strCache>
                  </c:strRef>
                </c:cat>
                <c:val>
                  <c:numRef>
                    <c:extLst xmlns:c15="http://schemas.microsoft.com/office/drawing/2012/chart">
                      <c:ext xmlns:c15="http://schemas.microsoft.com/office/drawing/2012/chart" uri="{02D57815-91ED-43cb-92C2-25804820EDAC}">
                        <c15:formulaRef>
                          <c15:sqref>Sheet1!$E$191:$E$192</c15:sqref>
                        </c15:formulaRef>
                      </c:ext>
                    </c:extLst>
                    <c:numCache>
                      <c:formatCode>General</c:formatCode>
                      <c:ptCount val="2"/>
                    </c:numCache>
                  </c:numRef>
                </c:val>
              </c15:ser>
            </c15:filteredBarSeries>
          </c:ext>
        </c:extLst>
      </c:barChart>
      <c:catAx>
        <c:axId val="438290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504759688"/>
        <c:crosses val="autoZero"/>
        <c:auto val="1"/>
        <c:lblAlgn val="ctr"/>
        <c:lblOffset val="100"/>
        <c:noMultiLvlLbl val="0"/>
      </c:catAx>
      <c:valAx>
        <c:axId val="504759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829036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gradFill>
      <a:gsLst>
        <a:gs pos="8000">
          <a:srgbClr val="92D050"/>
        </a:gs>
        <a:gs pos="100000">
          <a:schemeClr val="accent1">
            <a:lumMod val="45000"/>
            <a:lumOff val="55000"/>
          </a:schemeClr>
        </a:gs>
        <a:gs pos="71000">
          <a:schemeClr val="accent2">
            <a:lumMod val="60000"/>
            <a:lumOff val="40000"/>
          </a:schemeClr>
        </a:gs>
        <a:gs pos="100000">
          <a:schemeClr val="accent1">
            <a:lumMod val="30000"/>
            <a:lumOff val="70000"/>
          </a:schemeClr>
        </a:gs>
      </a:gsLst>
      <a:lin ang="5400000" scaled="1"/>
    </a:gradFill>
    <a:ln w="1587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lv-LV" sz="1200" b="1">
                <a:solidFill>
                  <a:sysClr val="windowText" lastClr="000000"/>
                </a:solidFill>
                <a:latin typeface="Times New Roman" panose="02020603050405020304" pitchFamily="18" charset="0"/>
                <a:cs typeface="Times New Roman" panose="02020603050405020304" pitchFamily="18" charset="0"/>
              </a:rPr>
              <a:t>Ārpusģimenes</a:t>
            </a:r>
            <a:r>
              <a:rPr lang="lv-LV" sz="1200" b="1" baseline="0">
                <a:solidFill>
                  <a:sysClr val="windowText" lastClr="000000"/>
                </a:solidFill>
                <a:latin typeface="Times New Roman" panose="02020603050405020304" pitchFamily="18" charset="0"/>
                <a:cs typeface="Times New Roman" panose="02020603050405020304" pitchFamily="18" charset="0"/>
              </a:rPr>
              <a:t> aprūpē esošo bērnu skaits, kuri nodoti citas personas aprūpē Latvijā</a:t>
            </a:r>
            <a:endParaRPr lang="en-GB" sz="1200" b="1">
              <a:solidFill>
                <a:sysClr val="windowText" lastClr="000000"/>
              </a:solidFill>
              <a:latin typeface="Times New Roman" panose="02020603050405020304" pitchFamily="18" charset="0"/>
              <a:cs typeface="Times New Roman" panose="02020603050405020304" pitchFamily="18" charset="0"/>
            </a:endParaRP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8.5229209362528327E-2"/>
          <c:y val="6.056755438154951E-2"/>
          <c:w val="0.53270581802274719"/>
          <c:h val="0.85502088212327954"/>
        </c:manualLayout>
      </c:layout>
      <c:bar3DChart>
        <c:barDir val="col"/>
        <c:grouping val="clustered"/>
        <c:varyColors val="0"/>
        <c:ser>
          <c:idx val="0"/>
          <c:order val="0"/>
          <c:tx>
            <c:strRef>
              <c:f>Sheet2!$D$113:$M$113</c:f>
              <c:strCache>
                <c:ptCount val="10"/>
                <c:pt idx="0">
                  <c:v>Bērnu skaits,kurus aizbildņi nodevuši citas personas aprūpē Latvijā uzlaiku no 1-3 mēnešiem</c:v>
                </c:pt>
              </c:strCache>
            </c:strRef>
          </c:tx>
          <c:spPr>
            <a:solidFill>
              <a:srgbClr val="00B0F0"/>
            </a:solidFill>
          </c:spPr>
          <c:invertIfNegative val="0"/>
          <c:dLbls>
            <c:spPr>
              <a:noFill/>
              <a:ln>
                <a:noFill/>
              </a:ln>
              <a:effectLst/>
            </c:spPr>
            <c:txPr>
              <a:bodyPr/>
              <a:lstStyle/>
              <a:p>
                <a:pPr>
                  <a:defRPr sz="1300" b="1" i="0" baseline="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Sheet2!$O$112:$R$112</c:f>
              <c:numCache>
                <c:formatCode>General</c:formatCode>
                <c:ptCount val="4"/>
                <c:pt idx="0">
                  <c:v>2012</c:v>
                </c:pt>
                <c:pt idx="1">
                  <c:v>2013</c:v>
                </c:pt>
                <c:pt idx="2">
                  <c:v>2014</c:v>
                </c:pt>
                <c:pt idx="3">
                  <c:v>2015</c:v>
                </c:pt>
              </c:numCache>
            </c:numRef>
          </c:cat>
          <c:val>
            <c:numRef>
              <c:f>Sheet2!$O$113:$R$113</c:f>
              <c:numCache>
                <c:formatCode>General</c:formatCode>
                <c:ptCount val="4"/>
                <c:pt idx="0">
                  <c:v>9</c:v>
                </c:pt>
                <c:pt idx="1">
                  <c:v>12</c:v>
                </c:pt>
                <c:pt idx="2">
                  <c:v>2</c:v>
                </c:pt>
                <c:pt idx="3">
                  <c:v>5</c:v>
                </c:pt>
              </c:numCache>
            </c:numRef>
          </c:val>
        </c:ser>
        <c:ser>
          <c:idx val="1"/>
          <c:order val="1"/>
          <c:tx>
            <c:strRef>
              <c:f>Sheet2!$D$114:$M$114</c:f>
              <c:strCache>
                <c:ptCount val="10"/>
                <c:pt idx="0">
                  <c:v>Bērnu skaits,kurus audžuģimene nodevusi citas personas aprūpē Latvijā uzlaiku no 1-3 mēnešiem</c:v>
                </c:pt>
              </c:strCache>
            </c:strRef>
          </c:tx>
          <c:spPr>
            <a:solidFill>
              <a:srgbClr val="FF0000"/>
            </a:solidFill>
          </c:spPr>
          <c:invertIfNegative val="0"/>
          <c:dLbls>
            <c:spPr>
              <a:noFill/>
              <a:ln>
                <a:noFill/>
              </a:ln>
              <a:effectLst/>
            </c:spPr>
            <c:txPr>
              <a:bodyPr/>
              <a:lstStyle/>
              <a:p>
                <a:pPr>
                  <a:defRPr sz="1300" b="1" i="0" baseline="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Sheet2!$O$112:$R$112</c:f>
              <c:numCache>
                <c:formatCode>General</c:formatCode>
                <c:ptCount val="4"/>
                <c:pt idx="0">
                  <c:v>2012</c:v>
                </c:pt>
                <c:pt idx="1">
                  <c:v>2013</c:v>
                </c:pt>
                <c:pt idx="2">
                  <c:v>2014</c:v>
                </c:pt>
                <c:pt idx="3">
                  <c:v>2015</c:v>
                </c:pt>
              </c:numCache>
            </c:numRef>
          </c:cat>
          <c:val>
            <c:numRef>
              <c:f>Sheet2!$O$114:$R$114</c:f>
              <c:numCache>
                <c:formatCode>General</c:formatCode>
                <c:ptCount val="4"/>
                <c:pt idx="0">
                  <c:v>3</c:v>
                </c:pt>
                <c:pt idx="1">
                  <c:v>10</c:v>
                </c:pt>
                <c:pt idx="2">
                  <c:v>13</c:v>
                </c:pt>
                <c:pt idx="3">
                  <c:v>6</c:v>
                </c:pt>
              </c:numCache>
            </c:numRef>
          </c:val>
        </c:ser>
        <c:ser>
          <c:idx val="2"/>
          <c:order val="2"/>
          <c:tx>
            <c:strRef>
              <c:f>Sheet2!$D$115:$M$115</c:f>
              <c:strCache>
                <c:ptCount val="10"/>
                <c:pt idx="0">
                  <c:v>Viesģimeņu kopējais skaits </c:v>
                </c:pt>
              </c:strCache>
            </c:strRef>
          </c:tx>
          <c:spPr>
            <a:solidFill>
              <a:srgbClr val="00B050"/>
            </a:solidFill>
          </c:spPr>
          <c:invertIfNegative val="0"/>
          <c:dLbls>
            <c:spPr>
              <a:noFill/>
              <a:ln>
                <a:noFill/>
              </a:ln>
              <a:effectLst/>
            </c:spPr>
            <c:txPr>
              <a:bodyPr/>
              <a:lstStyle/>
              <a:p>
                <a:pPr>
                  <a:defRPr sz="1300" b="1" i="0" baseline="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Sheet2!$O$112:$R$112</c:f>
              <c:numCache>
                <c:formatCode>General</c:formatCode>
                <c:ptCount val="4"/>
                <c:pt idx="0">
                  <c:v>2012</c:v>
                </c:pt>
                <c:pt idx="1">
                  <c:v>2013</c:v>
                </c:pt>
                <c:pt idx="2">
                  <c:v>2014</c:v>
                </c:pt>
                <c:pt idx="3">
                  <c:v>2015</c:v>
                </c:pt>
              </c:numCache>
            </c:numRef>
          </c:cat>
          <c:val>
            <c:numRef>
              <c:f>Sheet2!$O$115:$R$115</c:f>
              <c:numCache>
                <c:formatCode>General</c:formatCode>
                <c:ptCount val="4"/>
                <c:pt idx="0">
                  <c:v>130</c:v>
                </c:pt>
                <c:pt idx="1">
                  <c:v>113</c:v>
                </c:pt>
                <c:pt idx="2">
                  <c:v>89</c:v>
                </c:pt>
                <c:pt idx="3">
                  <c:v>59</c:v>
                </c:pt>
              </c:numCache>
            </c:numRef>
          </c:val>
        </c:ser>
        <c:dLbls>
          <c:showLegendKey val="0"/>
          <c:showVal val="0"/>
          <c:showCatName val="0"/>
          <c:showSerName val="0"/>
          <c:showPercent val="0"/>
          <c:showBubbleSize val="0"/>
        </c:dLbls>
        <c:gapWidth val="150"/>
        <c:shape val="box"/>
        <c:axId val="513057408"/>
        <c:axId val="513059368"/>
        <c:axId val="0"/>
      </c:bar3DChart>
      <c:catAx>
        <c:axId val="513057408"/>
        <c:scaling>
          <c:orientation val="minMax"/>
        </c:scaling>
        <c:delete val="0"/>
        <c:axPos val="b"/>
        <c:numFmt formatCode="General" sourceLinked="1"/>
        <c:majorTickMark val="out"/>
        <c:minorTickMark val="none"/>
        <c:tickLblPos val="nextTo"/>
        <c:txPr>
          <a:bodyPr/>
          <a:lstStyle/>
          <a:p>
            <a:pPr>
              <a:defRPr b="1" i="0" baseline="0">
                <a:solidFill>
                  <a:sysClr val="windowText" lastClr="000000"/>
                </a:solidFill>
              </a:defRPr>
            </a:pPr>
            <a:endParaRPr lang="en-US"/>
          </a:p>
        </c:txPr>
        <c:crossAx val="513059368"/>
        <c:crosses val="autoZero"/>
        <c:auto val="1"/>
        <c:lblAlgn val="ctr"/>
        <c:lblOffset val="100"/>
        <c:noMultiLvlLbl val="0"/>
      </c:catAx>
      <c:valAx>
        <c:axId val="513059368"/>
        <c:scaling>
          <c:orientation val="minMax"/>
        </c:scaling>
        <c:delete val="0"/>
        <c:axPos val="l"/>
        <c:majorGridlines/>
        <c:numFmt formatCode="General" sourceLinked="1"/>
        <c:majorTickMark val="out"/>
        <c:minorTickMark val="none"/>
        <c:tickLblPos val="nextTo"/>
        <c:crossAx val="513057408"/>
        <c:crosses val="autoZero"/>
        <c:crossBetween val="between"/>
      </c:valAx>
    </c:plotArea>
    <c:legend>
      <c:legendPos val="r"/>
      <c:overlay val="0"/>
      <c:spPr>
        <a:ln w="19050" cmpd="sng"/>
      </c:spPr>
      <c:txPr>
        <a:bodyPr/>
        <a:lstStyle/>
        <a:p>
          <a:pPr>
            <a:defRPr b="1" i="0" baseline="0">
              <a:solidFill>
                <a:sysClr val="windowText" lastClr="000000"/>
              </a:solidFill>
            </a:defRPr>
          </a:pPr>
          <a:endParaRPr lang="en-US"/>
        </a:p>
      </c:txPr>
    </c:legend>
    <c:plotVisOnly val="1"/>
    <c:dispBlanksAs val="gap"/>
    <c:showDLblsOverMax val="0"/>
  </c:chart>
  <c:spPr>
    <a:gradFill>
      <a:gsLst>
        <a:gs pos="70000">
          <a:schemeClr val="accent4">
            <a:lumMod val="60000"/>
            <a:lumOff val="40000"/>
          </a:schemeClr>
        </a:gs>
        <a:gs pos="0">
          <a:schemeClr val="accent6">
            <a:lumMod val="60000"/>
            <a:lumOff val="40000"/>
          </a:schemeClr>
        </a:gs>
        <a:gs pos="39000">
          <a:schemeClr val="accent1">
            <a:tint val="44500"/>
            <a:satMod val="160000"/>
          </a:schemeClr>
        </a:gs>
        <a:gs pos="100000">
          <a:schemeClr val="accent1">
            <a:tint val="23500"/>
            <a:satMod val="160000"/>
          </a:schemeClr>
        </a:gs>
      </a:gsLst>
      <a:lin ang="5400000" scaled="0"/>
    </a:gradFill>
    <a:ln w="15875">
      <a:solidFill>
        <a:schemeClr val="tx1">
          <a:lumMod val="65000"/>
          <a:lumOff val="35000"/>
        </a:schemeClr>
      </a:solidFill>
    </a:ln>
  </c:sp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v-LV" sz="1400"/>
              <a:t>Ārpusģimenes aprūpē esošo bērnu skaits, kuri nodoti citas personas aprūpē ārvalstīs</a:t>
            </a:r>
            <a:r>
              <a:rPr lang="lv-LV" sz="1400" baseline="0"/>
              <a:t> pārskata gadā</a:t>
            </a:r>
            <a:endParaRPr lang="lv-LV" sz="1400"/>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1635418536852274"/>
          <c:y val="9.2627137077478577E-2"/>
          <c:w val="0.51182494001115364"/>
          <c:h val="0.83309419655876349"/>
        </c:manualLayout>
      </c:layout>
      <c:bar3DChart>
        <c:barDir val="bar"/>
        <c:grouping val="clustered"/>
        <c:varyColors val="0"/>
        <c:ser>
          <c:idx val="0"/>
          <c:order val="0"/>
          <c:tx>
            <c:strRef>
              <c:f>Sheet2!$D$120:$K$120</c:f>
              <c:strCache>
                <c:ptCount val="8"/>
                <c:pt idx="0">
                  <c:v>Aizbildnībā esošo bērnu skaits, kuri nodoti citas peronas aprūpē ārvalstī</c:v>
                </c:pt>
              </c:strCache>
            </c:strRef>
          </c:tx>
          <c:spPr>
            <a:solidFill>
              <a:srgbClr val="808000"/>
            </a:solidFill>
          </c:spPr>
          <c:invertIfNegative val="0"/>
          <c:dLbls>
            <c:spPr>
              <a:noFill/>
              <a:ln>
                <a:noFill/>
              </a:ln>
              <a:effectLst/>
            </c:spPr>
            <c:txPr>
              <a:bodyPr/>
              <a:lstStyle/>
              <a:p>
                <a:pPr>
                  <a:defRPr sz="1300" b="1" i="0" baseline="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Sheet2!$M$119:$P$119</c:f>
              <c:numCache>
                <c:formatCode>General</c:formatCode>
                <c:ptCount val="4"/>
                <c:pt idx="0">
                  <c:v>2012</c:v>
                </c:pt>
                <c:pt idx="1">
                  <c:v>2013</c:v>
                </c:pt>
                <c:pt idx="2">
                  <c:v>2014</c:v>
                </c:pt>
                <c:pt idx="3">
                  <c:v>2015</c:v>
                </c:pt>
              </c:numCache>
            </c:numRef>
          </c:cat>
          <c:val>
            <c:numRef>
              <c:f>Sheet2!$M$120:$P$120</c:f>
              <c:numCache>
                <c:formatCode>General</c:formatCode>
                <c:ptCount val="4"/>
                <c:pt idx="0">
                  <c:v>6</c:v>
                </c:pt>
                <c:pt idx="1">
                  <c:v>11</c:v>
                </c:pt>
                <c:pt idx="2">
                  <c:v>22</c:v>
                </c:pt>
                <c:pt idx="3">
                  <c:v>15</c:v>
                </c:pt>
              </c:numCache>
            </c:numRef>
          </c:val>
        </c:ser>
        <c:ser>
          <c:idx val="1"/>
          <c:order val="1"/>
          <c:tx>
            <c:strRef>
              <c:f>Sheet2!$D$121:$K$121</c:f>
              <c:strCache>
                <c:ptCount val="8"/>
                <c:pt idx="0">
                  <c:v>Audžuģimenē esošo bērnu skaits, kuri nodoti citas peronas aprūpē ārvalstī</c:v>
                </c:pt>
              </c:strCache>
            </c:strRef>
          </c:tx>
          <c:invertIfNegative val="0"/>
          <c:dLbls>
            <c:spPr>
              <a:noFill/>
              <a:ln>
                <a:noFill/>
              </a:ln>
              <a:effectLst/>
            </c:spPr>
            <c:txPr>
              <a:bodyPr/>
              <a:lstStyle/>
              <a:p>
                <a:pPr>
                  <a:defRPr sz="1300" b="1" i="0" baseline="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Sheet2!$M$119:$P$119</c:f>
              <c:numCache>
                <c:formatCode>General</c:formatCode>
                <c:ptCount val="4"/>
                <c:pt idx="0">
                  <c:v>2012</c:v>
                </c:pt>
                <c:pt idx="1">
                  <c:v>2013</c:v>
                </c:pt>
                <c:pt idx="2">
                  <c:v>2014</c:v>
                </c:pt>
                <c:pt idx="3">
                  <c:v>2015</c:v>
                </c:pt>
              </c:numCache>
            </c:numRef>
          </c:cat>
          <c:val>
            <c:numRef>
              <c:f>Sheet2!$M$121:$P$121</c:f>
              <c:numCache>
                <c:formatCode>General</c:formatCode>
                <c:ptCount val="4"/>
                <c:pt idx="0">
                  <c:v>94</c:v>
                </c:pt>
                <c:pt idx="1">
                  <c:v>96</c:v>
                </c:pt>
                <c:pt idx="2">
                  <c:v>116</c:v>
                </c:pt>
                <c:pt idx="3">
                  <c:v>106</c:v>
                </c:pt>
              </c:numCache>
            </c:numRef>
          </c:val>
        </c:ser>
        <c:ser>
          <c:idx val="2"/>
          <c:order val="2"/>
          <c:tx>
            <c:strRef>
              <c:f>Sheet2!$D$122:$K$122</c:f>
              <c:strCache>
                <c:ptCount val="8"/>
                <c:pt idx="0">
                  <c:v>Institūcijā esošo bērnu skaits, kuri nodoti citas peronas aprūpē ārvalstī</c:v>
                </c:pt>
              </c:strCache>
            </c:strRef>
          </c:tx>
          <c:spPr>
            <a:solidFill>
              <a:srgbClr val="800080"/>
            </a:solidFill>
          </c:spPr>
          <c:invertIfNegative val="0"/>
          <c:dLbls>
            <c:spPr>
              <a:noFill/>
              <a:ln>
                <a:noFill/>
              </a:ln>
              <a:effectLst/>
            </c:spPr>
            <c:txPr>
              <a:bodyPr/>
              <a:lstStyle/>
              <a:p>
                <a:pPr>
                  <a:defRPr sz="1300" b="1" i="0" baseline="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Sheet2!$M$119:$P$119</c:f>
              <c:numCache>
                <c:formatCode>General</c:formatCode>
                <c:ptCount val="4"/>
                <c:pt idx="0">
                  <c:v>2012</c:v>
                </c:pt>
                <c:pt idx="1">
                  <c:v>2013</c:v>
                </c:pt>
                <c:pt idx="2">
                  <c:v>2014</c:v>
                </c:pt>
                <c:pt idx="3">
                  <c:v>2015</c:v>
                </c:pt>
              </c:numCache>
            </c:numRef>
          </c:cat>
          <c:val>
            <c:numRef>
              <c:f>Sheet2!$M$122:$P$122</c:f>
              <c:numCache>
                <c:formatCode>General</c:formatCode>
                <c:ptCount val="4"/>
                <c:pt idx="0">
                  <c:v>163</c:v>
                </c:pt>
                <c:pt idx="1">
                  <c:v>230</c:v>
                </c:pt>
                <c:pt idx="2">
                  <c:v>214</c:v>
                </c:pt>
                <c:pt idx="3">
                  <c:v>203</c:v>
                </c:pt>
              </c:numCache>
            </c:numRef>
          </c:val>
        </c:ser>
        <c:dLbls>
          <c:showLegendKey val="0"/>
          <c:showVal val="0"/>
          <c:showCatName val="0"/>
          <c:showSerName val="0"/>
          <c:showPercent val="0"/>
          <c:showBubbleSize val="0"/>
        </c:dLbls>
        <c:gapWidth val="150"/>
        <c:shape val="cylinder"/>
        <c:axId val="513062112"/>
        <c:axId val="513057800"/>
        <c:axId val="0"/>
      </c:bar3DChart>
      <c:catAx>
        <c:axId val="513062112"/>
        <c:scaling>
          <c:orientation val="minMax"/>
        </c:scaling>
        <c:delete val="0"/>
        <c:axPos val="l"/>
        <c:numFmt formatCode="General" sourceLinked="1"/>
        <c:majorTickMark val="out"/>
        <c:minorTickMark val="none"/>
        <c:tickLblPos val="nextTo"/>
        <c:txPr>
          <a:bodyPr/>
          <a:lstStyle/>
          <a:p>
            <a:pPr>
              <a:defRPr sz="1100" b="1"/>
            </a:pPr>
            <a:endParaRPr lang="en-US"/>
          </a:p>
        </c:txPr>
        <c:crossAx val="513057800"/>
        <c:crosses val="autoZero"/>
        <c:auto val="1"/>
        <c:lblAlgn val="ctr"/>
        <c:lblOffset val="100"/>
        <c:noMultiLvlLbl val="0"/>
      </c:catAx>
      <c:valAx>
        <c:axId val="513057800"/>
        <c:scaling>
          <c:orientation val="minMax"/>
        </c:scaling>
        <c:delete val="0"/>
        <c:axPos val="b"/>
        <c:majorGridlines/>
        <c:numFmt formatCode="General" sourceLinked="1"/>
        <c:majorTickMark val="out"/>
        <c:minorTickMark val="none"/>
        <c:tickLblPos val="nextTo"/>
        <c:crossAx val="513062112"/>
        <c:crosses val="autoZero"/>
        <c:crossBetween val="between"/>
      </c:valAx>
    </c:plotArea>
    <c:legend>
      <c:legendPos val="r"/>
      <c:overlay val="0"/>
      <c:txPr>
        <a:bodyPr/>
        <a:lstStyle/>
        <a:p>
          <a:pPr>
            <a:defRPr b="1"/>
          </a:pPr>
          <a:endParaRPr lang="en-US"/>
        </a:p>
      </c:txPr>
    </c:legend>
    <c:plotVisOnly val="1"/>
    <c:dispBlanksAs val="gap"/>
    <c:showDLblsOverMax val="0"/>
  </c:chart>
  <c:spPr>
    <a:gradFill>
      <a:gsLst>
        <a:gs pos="0">
          <a:schemeClr val="accent4"/>
        </a:gs>
        <a:gs pos="50000">
          <a:schemeClr val="accent1">
            <a:tint val="44500"/>
            <a:satMod val="160000"/>
          </a:schemeClr>
        </a:gs>
        <a:gs pos="100000">
          <a:schemeClr val="accent1">
            <a:tint val="23500"/>
            <a:satMod val="160000"/>
          </a:schemeClr>
        </a:gs>
      </a:gsLst>
      <a:lin ang="5400000" scaled="0"/>
    </a:gradFill>
  </c:sp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v-LV" sz="1400"/>
              <a:t>Pārskats</a:t>
            </a:r>
            <a:r>
              <a:rPr lang="lv-LV" sz="1400" baseline="0"/>
              <a:t> par aizgādnību</a:t>
            </a:r>
            <a:endParaRPr lang="lv-LV" sz="14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Sheet2!$N$129</c:f>
              <c:strCache>
                <c:ptCount val="1"/>
                <c:pt idx="0">
                  <c:v>2012</c:v>
                </c:pt>
              </c:strCache>
            </c:strRef>
          </c:tx>
          <c:spPr>
            <a:solidFill>
              <a:srgbClr val="6699FF"/>
            </a:solidFill>
          </c:spPr>
          <c:invertIfNegative val="0"/>
          <c:dLbls>
            <c:spPr>
              <a:noFill/>
              <a:ln>
                <a:noFill/>
              </a:ln>
              <a:effectLst/>
            </c:spPr>
            <c:txPr>
              <a:bodyPr/>
              <a:lstStyle/>
              <a:p>
                <a:pPr>
                  <a:defRPr sz="1000" b="1" i="0" baseline="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Sheet2!$E$130:$M$132</c:f>
              <c:strCache>
                <c:ptCount val="3"/>
                <c:pt idx="0">
                  <c:v>Personu skaits,kurām nodibināta aizgādnība </c:v>
                </c:pt>
                <c:pt idx="1">
                  <c:v>Personu skaits,kuras ieceltas par aizgādni personai</c:v>
                </c:pt>
                <c:pt idx="2">
                  <c:v>Personu skaits, kuras ieceltas par aizgādni mantojumam vai prombūtnē esošas personas mantai</c:v>
                </c:pt>
              </c:strCache>
            </c:strRef>
          </c:cat>
          <c:val>
            <c:numRef>
              <c:f>Sheet2!$N$130:$N$132</c:f>
              <c:numCache>
                <c:formatCode>General</c:formatCode>
                <c:ptCount val="3"/>
                <c:pt idx="0">
                  <c:v>2906</c:v>
                </c:pt>
                <c:pt idx="1">
                  <c:v>2711</c:v>
                </c:pt>
                <c:pt idx="2">
                  <c:v>320</c:v>
                </c:pt>
              </c:numCache>
            </c:numRef>
          </c:val>
        </c:ser>
        <c:ser>
          <c:idx val="1"/>
          <c:order val="1"/>
          <c:tx>
            <c:strRef>
              <c:f>Sheet2!$O$129</c:f>
              <c:strCache>
                <c:ptCount val="1"/>
                <c:pt idx="0">
                  <c:v>2013</c:v>
                </c:pt>
              </c:strCache>
            </c:strRef>
          </c:tx>
          <c:spPr>
            <a:solidFill>
              <a:schemeClr val="accent2">
                <a:lumMod val="60000"/>
                <a:lumOff val="40000"/>
              </a:schemeClr>
            </a:solidFill>
          </c:spPr>
          <c:invertIfNegative val="0"/>
          <c:dLbls>
            <c:dLbl>
              <c:idx val="0"/>
              <c:layout>
                <c:manualLayout>
                  <c:x val="6.4829838934551392E-3"/>
                  <c:y val="-2.777777777777779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2038613217192625E-2"/>
                  <c:y val="-3.7037037037037035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4829838934549744E-3"/>
                  <c:y val="-3.703703703703703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000" b="1" i="0" baseline="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Sheet2!$E$130:$M$132</c:f>
              <c:strCache>
                <c:ptCount val="3"/>
                <c:pt idx="0">
                  <c:v>Personu skaits,kurām nodibināta aizgādnība </c:v>
                </c:pt>
                <c:pt idx="1">
                  <c:v>Personu skaits,kuras ieceltas par aizgādni personai</c:v>
                </c:pt>
                <c:pt idx="2">
                  <c:v>Personu skaits, kuras ieceltas par aizgādni mantojumam vai prombūtnē esošas personas mantai</c:v>
                </c:pt>
              </c:strCache>
            </c:strRef>
          </c:cat>
          <c:val>
            <c:numRef>
              <c:f>Sheet2!$O$130:$O$132</c:f>
              <c:numCache>
                <c:formatCode>General</c:formatCode>
                <c:ptCount val="3"/>
                <c:pt idx="0">
                  <c:v>2961</c:v>
                </c:pt>
                <c:pt idx="1">
                  <c:v>2744</c:v>
                </c:pt>
                <c:pt idx="2">
                  <c:v>298</c:v>
                </c:pt>
              </c:numCache>
            </c:numRef>
          </c:val>
        </c:ser>
        <c:ser>
          <c:idx val="2"/>
          <c:order val="2"/>
          <c:tx>
            <c:strRef>
              <c:f>Sheet2!$P$129</c:f>
              <c:strCache>
                <c:ptCount val="1"/>
                <c:pt idx="0">
                  <c:v>2014</c:v>
                </c:pt>
              </c:strCache>
            </c:strRef>
          </c:tx>
          <c:spPr>
            <a:solidFill>
              <a:srgbClr val="9900FF"/>
            </a:solidFill>
          </c:spPr>
          <c:invertIfNegative val="0"/>
          <c:dLbls>
            <c:dLbl>
              <c:idx val="0"/>
              <c:layout>
                <c:manualLayout>
                  <c:x val="1.3490725126475547E-2"/>
                  <c:y val="-2.1218890680033321E-17"/>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3490725126475547E-2"/>
                  <c:y val="-2.1218890680033321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Sheet2!$E$130:$M$132</c:f>
              <c:strCache>
                <c:ptCount val="3"/>
                <c:pt idx="0">
                  <c:v>Personu skaits,kurām nodibināta aizgādnība </c:v>
                </c:pt>
                <c:pt idx="1">
                  <c:v>Personu skaits,kuras ieceltas par aizgādni personai</c:v>
                </c:pt>
                <c:pt idx="2">
                  <c:v>Personu skaits, kuras ieceltas par aizgādni mantojumam vai prombūtnē esošas personas mantai</c:v>
                </c:pt>
              </c:strCache>
            </c:strRef>
          </c:cat>
          <c:val>
            <c:numRef>
              <c:f>Sheet2!$P$130:$P$132</c:f>
              <c:numCache>
                <c:formatCode>General</c:formatCode>
                <c:ptCount val="3"/>
                <c:pt idx="0">
                  <c:v>2989</c:v>
                </c:pt>
                <c:pt idx="1">
                  <c:v>2808</c:v>
                </c:pt>
                <c:pt idx="2">
                  <c:v>393</c:v>
                </c:pt>
              </c:numCache>
            </c:numRef>
          </c:val>
        </c:ser>
        <c:ser>
          <c:idx val="3"/>
          <c:order val="3"/>
          <c:tx>
            <c:strRef>
              <c:f>Sheet2!$Q$129</c:f>
              <c:strCache>
                <c:ptCount val="1"/>
                <c:pt idx="0">
                  <c:v>2015</c:v>
                </c:pt>
              </c:strCache>
            </c:strRef>
          </c:tx>
          <c:invertIfNegative val="0"/>
          <c:dLbls>
            <c:dLbl>
              <c:idx val="0"/>
              <c:layout>
                <c:manualLayout>
                  <c:x val="2.4732996065205171E-2"/>
                  <c:y val="-9.2592592592592692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1478358628442948E-2"/>
                  <c:y val="-2.1218890680033321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12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Sheet2!$E$130:$M$132</c:f>
              <c:strCache>
                <c:ptCount val="3"/>
                <c:pt idx="0">
                  <c:v>Personu skaits,kurām nodibināta aizgādnība </c:v>
                </c:pt>
                <c:pt idx="1">
                  <c:v>Personu skaits,kuras ieceltas par aizgādni personai</c:v>
                </c:pt>
                <c:pt idx="2">
                  <c:v>Personu skaits, kuras ieceltas par aizgādni mantojumam vai prombūtnē esošas personas mantai</c:v>
                </c:pt>
              </c:strCache>
            </c:strRef>
          </c:cat>
          <c:val>
            <c:numRef>
              <c:f>Sheet2!$Q$130:$Q$132</c:f>
              <c:numCache>
                <c:formatCode>General</c:formatCode>
                <c:ptCount val="3"/>
                <c:pt idx="0">
                  <c:v>3081</c:v>
                </c:pt>
                <c:pt idx="1">
                  <c:v>2817</c:v>
                </c:pt>
                <c:pt idx="2">
                  <c:v>427</c:v>
                </c:pt>
              </c:numCache>
            </c:numRef>
          </c:val>
        </c:ser>
        <c:dLbls>
          <c:showLegendKey val="0"/>
          <c:showVal val="0"/>
          <c:showCatName val="0"/>
          <c:showSerName val="0"/>
          <c:showPercent val="0"/>
          <c:showBubbleSize val="0"/>
        </c:dLbls>
        <c:gapWidth val="150"/>
        <c:shape val="cylinder"/>
        <c:axId val="513052704"/>
        <c:axId val="513062504"/>
        <c:axId val="0"/>
      </c:bar3DChart>
      <c:catAx>
        <c:axId val="513052704"/>
        <c:scaling>
          <c:orientation val="minMax"/>
        </c:scaling>
        <c:delete val="0"/>
        <c:axPos val="b"/>
        <c:numFmt formatCode="General" sourceLinked="0"/>
        <c:majorTickMark val="out"/>
        <c:minorTickMark val="none"/>
        <c:tickLblPos val="nextTo"/>
        <c:txPr>
          <a:bodyPr/>
          <a:lstStyle/>
          <a:p>
            <a:pPr>
              <a:defRPr b="1" i="0" baseline="0"/>
            </a:pPr>
            <a:endParaRPr lang="en-US"/>
          </a:p>
        </c:txPr>
        <c:crossAx val="513062504"/>
        <c:crosses val="autoZero"/>
        <c:auto val="1"/>
        <c:lblAlgn val="ctr"/>
        <c:lblOffset val="100"/>
        <c:noMultiLvlLbl val="0"/>
      </c:catAx>
      <c:valAx>
        <c:axId val="513062504"/>
        <c:scaling>
          <c:orientation val="minMax"/>
        </c:scaling>
        <c:delete val="0"/>
        <c:axPos val="l"/>
        <c:majorGridlines/>
        <c:numFmt formatCode="General" sourceLinked="1"/>
        <c:majorTickMark val="out"/>
        <c:minorTickMark val="none"/>
        <c:tickLblPos val="nextTo"/>
        <c:crossAx val="513052704"/>
        <c:crosses val="autoZero"/>
        <c:crossBetween val="between"/>
      </c:valAx>
    </c:plotArea>
    <c:legend>
      <c:legendPos val="r"/>
      <c:overlay val="0"/>
      <c:txPr>
        <a:bodyPr/>
        <a:lstStyle/>
        <a:p>
          <a:pPr>
            <a:defRPr b="1" i="0" baseline="0"/>
          </a:pPr>
          <a:endParaRPr lang="en-US"/>
        </a:p>
      </c:txPr>
    </c:legend>
    <c:plotVisOnly val="1"/>
    <c:dispBlanksAs val="gap"/>
    <c:showDLblsOverMax val="0"/>
  </c:chart>
  <c:spPr>
    <a:gradFill>
      <a:gsLst>
        <a:gs pos="0">
          <a:schemeClr val="accent4">
            <a:lumMod val="40000"/>
            <a:lumOff val="60000"/>
          </a:schemeClr>
        </a:gs>
        <a:gs pos="50000">
          <a:schemeClr val="accent1">
            <a:tint val="44500"/>
            <a:satMod val="160000"/>
          </a:schemeClr>
        </a:gs>
        <a:gs pos="100000">
          <a:schemeClr val="accent1">
            <a:tint val="23500"/>
            <a:satMod val="160000"/>
          </a:schemeClr>
        </a:gs>
      </a:gsLst>
      <a:lin ang="5400000" scaled="0"/>
    </a:gradFill>
    <a:ln w="15875" cmpd="sng"/>
  </c:sp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solidFill>
                  <a:sysClr val="windowText" lastClr="000000"/>
                </a:solidFill>
              </a:rPr>
              <a:t>Pārskats</a:t>
            </a:r>
            <a:r>
              <a:rPr lang="lv-LV" b="1" baseline="0">
                <a:solidFill>
                  <a:sysClr val="windowText" lastClr="000000"/>
                </a:solidFill>
              </a:rPr>
              <a:t> par aizgādnību pārskata gada ietvaros</a:t>
            </a:r>
            <a:endParaRPr lang="en-GB"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Sheet2!$E$136</c:f>
              <c:strCache>
                <c:ptCount val="1"/>
                <c:pt idx="0">
                  <c:v>Personu skaits, kurām aizgādņi iecelti pārskata gadā</c:v>
                </c:pt>
              </c:strCache>
            </c:strRef>
          </c:tx>
          <c:spPr>
            <a:solidFill>
              <a:srgbClr val="A5002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Sheet2!$F$135:$I$135</c:f>
              <c:numCache>
                <c:formatCode>General</c:formatCode>
                <c:ptCount val="4"/>
                <c:pt idx="0">
                  <c:v>2012</c:v>
                </c:pt>
                <c:pt idx="1">
                  <c:v>2013</c:v>
                </c:pt>
                <c:pt idx="2">
                  <c:v>2014</c:v>
                </c:pt>
                <c:pt idx="3">
                  <c:v>2015</c:v>
                </c:pt>
              </c:numCache>
            </c:numRef>
          </c:cat>
          <c:val>
            <c:numRef>
              <c:f>Sheet2!$F$136:$I$136</c:f>
              <c:numCache>
                <c:formatCode>General</c:formatCode>
                <c:ptCount val="4"/>
                <c:pt idx="0">
                  <c:v>244</c:v>
                </c:pt>
                <c:pt idx="1">
                  <c:v>252</c:v>
                </c:pt>
                <c:pt idx="2">
                  <c:v>314</c:v>
                </c:pt>
                <c:pt idx="3">
                  <c:v>387</c:v>
                </c:pt>
              </c:numCache>
            </c:numRef>
          </c:val>
        </c:ser>
        <c:ser>
          <c:idx val="1"/>
          <c:order val="1"/>
          <c:tx>
            <c:strRef>
              <c:f>Sheet2!$E$137</c:f>
              <c:strCache>
                <c:ptCount val="1"/>
                <c:pt idx="0">
                  <c:v>Personu skaits,kuras ieceltas par aizgādni personai pārskata gadā</c:v>
                </c:pt>
              </c:strCache>
            </c:strRef>
          </c:tx>
          <c:spPr>
            <a:solidFill>
              <a:schemeClr val="accent2"/>
            </a:solidFill>
            <a:ln>
              <a:noFill/>
            </a:ln>
            <a:effectLst/>
          </c:spPr>
          <c:invertIfNegative val="0"/>
          <c:dPt>
            <c:idx val="0"/>
            <c:invertIfNegative val="0"/>
            <c:bubble3D val="0"/>
            <c:spPr>
              <a:solidFill>
                <a:schemeClr val="accent2"/>
              </a:solidFill>
              <a:ln>
                <a:noFill/>
              </a:ln>
              <a:effectLst/>
            </c:spPr>
          </c:dPt>
          <c:dLbls>
            <c:dLbl>
              <c:idx val="0"/>
              <c:layout>
                <c:manualLayout>
                  <c:x val="0"/>
                  <c:y val="-4.3279228617872166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1.1111111111111059E-2"/>
                  <c:y val="-2.9962542889296138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5.5555555555554534E-3"/>
                  <c:y val="-2.9962542889296138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3"/>
              <c:layout>
                <c:manualLayout>
                  <c:x val="1.6666666666666566E-2"/>
                  <c:y val="-1.9975028592864107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Sheet2!$F$135:$I$135</c:f>
              <c:numCache>
                <c:formatCode>General</c:formatCode>
                <c:ptCount val="4"/>
                <c:pt idx="0">
                  <c:v>2012</c:v>
                </c:pt>
                <c:pt idx="1">
                  <c:v>2013</c:v>
                </c:pt>
                <c:pt idx="2">
                  <c:v>2014</c:v>
                </c:pt>
                <c:pt idx="3">
                  <c:v>2015</c:v>
                </c:pt>
              </c:numCache>
            </c:numRef>
          </c:cat>
          <c:val>
            <c:numRef>
              <c:f>Sheet2!$F$137:$I$137</c:f>
              <c:numCache>
                <c:formatCode>General</c:formatCode>
                <c:ptCount val="4"/>
                <c:pt idx="0">
                  <c:v>226</c:v>
                </c:pt>
                <c:pt idx="1">
                  <c:v>243</c:v>
                </c:pt>
                <c:pt idx="2">
                  <c:v>302</c:v>
                </c:pt>
                <c:pt idx="3">
                  <c:v>384</c:v>
                </c:pt>
              </c:numCache>
            </c:numRef>
          </c:val>
        </c:ser>
        <c:ser>
          <c:idx val="2"/>
          <c:order val="2"/>
          <c:tx>
            <c:strRef>
              <c:f>Sheet2!$E$138</c:f>
              <c:strCache>
                <c:ptCount val="1"/>
                <c:pt idx="0">
                  <c:v>Aizgādņu skaits, kuri ir personas radinieki</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Sheet2!$F$135:$I$135</c:f>
              <c:numCache>
                <c:formatCode>General</c:formatCode>
                <c:ptCount val="4"/>
                <c:pt idx="0">
                  <c:v>2012</c:v>
                </c:pt>
                <c:pt idx="1">
                  <c:v>2013</c:v>
                </c:pt>
                <c:pt idx="2">
                  <c:v>2014</c:v>
                </c:pt>
                <c:pt idx="3">
                  <c:v>2015</c:v>
                </c:pt>
              </c:numCache>
            </c:numRef>
          </c:cat>
          <c:val>
            <c:numRef>
              <c:f>Sheet2!$F$138:$I$138</c:f>
              <c:numCache>
                <c:formatCode>General</c:formatCode>
                <c:ptCount val="4"/>
                <c:pt idx="0">
                  <c:v>161</c:v>
                </c:pt>
                <c:pt idx="1">
                  <c:v>201</c:v>
                </c:pt>
                <c:pt idx="2">
                  <c:v>247</c:v>
                </c:pt>
                <c:pt idx="3">
                  <c:v>271</c:v>
                </c:pt>
              </c:numCache>
            </c:numRef>
          </c:val>
        </c:ser>
        <c:ser>
          <c:idx val="3"/>
          <c:order val="3"/>
          <c:tx>
            <c:strRef>
              <c:f>Sheet2!$E$139</c:f>
              <c:strCache>
                <c:ptCount val="1"/>
                <c:pt idx="0">
                  <c:v>Aizgādņu skaits, kuri nav personas radinieki</c:v>
                </c:pt>
              </c:strCache>
            </c:strRef>
          </c:tx>
          <c:spPr>
            <a:solidFill>
              <a:schemeClr val="accent2">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Sheet2!$F$135:$I$135</c:f>
              <c:numCache>
                <c:formatCode>General</c:formatCode>
                <c:ptCount val="4"/>
                <c:pt idx="0">
                  <c:v>2012</c:v>
                </c:pt>
                <c:pt idx="1">
                  <c:v>2013</c:v>
                </c:pt>
                <c:pt idx="2">
                  <c:v>2014</c:v>
                </c:pt>
                <c:pt idx="3">
                  <c:v>2015</c:v>
                </c:pt>
              </c:numCache>
            </c:numRef>
          </c:cat>
          <c:val>
            <c:numRef>
              <c:f>Sheet2!$F$139:$I$139</c:f>
              <c:numCache>
                <c:formatCode>General</c:formatCode>
                <c:ptCount val="4"/>
                <c:pt idx="0">
                  <c:v>65</c:v>
                </c:pt>
                <c:pt idx="1">
                  <c:v>42</c:v>
                </c:pt>
                <c:pt idx="2">
                  <c:v>55</c:v>
                </c:pt>
                <c:pt idx="3">
                  <c:v>113</c:v>
                </c:pt>
              </c:numCache>
            </c:numRef>
          </c:val>
        </c:ser>
        <c:ser>
          <c:idx val="4"/>
          <c:order val="4"/>
          <c:tx>
            <c:strRef>
              <c:f>Sheet2!$E$140</c:f>
              <c:strCache>
                <c:ptCount val="1"/>
                <c:pt idx="0">
                  <c:v>Personu skaits, kuras ieceltas par aizgādni mantojumam vai prombūtnē esošas personas mantai pārskata gadā</c:v>
                </c:pt>
              </c:strCache>
            </c:strRef>
          </c:tx>
          <c:spPr>
            <a:solidFill>
              <a:srgbClr val="DA92C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Sheet2!$F$135:$I$135</c:f>
              <c:numCache>
                <c:formatCode>General</c:formatCode>
                <c:ptCount val="4"/>
                <c:pt idx="0">
                  <c:v>2012</c:v>
                </c:pt>
                <c:pt idx="1">
                  <c:v>2013</c:v>
                </c:pt>
                <c:pt idx="2">
                  <c:v>2014</c:v>
                </c:pt>
                <c:pt idx="3">
                  <c:v>2015</c:v>
                </c:pt>
              </c:numCache>
            </c:numRef>
          </c:cat>
          <c:val>
            <c:numRef>
              <c:f>Sheet2!$F$140:$I$140</c:f>
              <c:numCache>
                <c:formatCode>General</c:formatCode>
                <c:ptCount val="4"/>
                <c:pt idx="0">
                  <c:v>74</c:v>
                </c:pt>
                <c:pt idx="1">
                  <c:v>59</c:v>
                </c:pt>
                <c:pt idx="2">
                  <c:v>108</c:v>
                </c:pt>
                <c:pt idx="3">
                  <c:v>198</c:v>
                </c:pt>
              </c:numCache>
            </c:numRef>
          </c:val>
        </c:ser>
        <c:dLbls>
          <c:showLegendKey val="0"/>
          <c:showVal val="0"/>
          <c:showCatName val="0"/>
          <c:showSerName val="0"/>
          <c:showPercent val="0"/>
          <c:showBubbleSize val="0"/>
        </c:dLbls>
        <c:gapWidth val="219"/>
        <c:overlap val="-27"/>
        <c:axId val="513062896"/>
        <c:axId val="513064464"/>
      </c:barChart>
      <c:catAx>
        <c:axId val="513062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513064464"/>
        <c:crosses val="autoZero"/>
        <c:auto val="1"/>
        <c:lblAlgn val="ctr"/>
        <c:lblOffset val="100"/>
        <c:noMultiLvlLbl val="0"/>
      </c:catAx>
      <c:valAx>
        <c:axId val="513064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3062896"/>
        <c:crosses val="autoZero"/>
        <c:crossBetween val="between"/>
      </c:valAx>
      <c:spPr>
        <a:noFill/>
        <a:ln>
          <a:noFill/>
        </a:ln>
        <a:effectLst/>
      </c:spPr>
    </c:plotArea>
    <c:legend>
      <c:legendPos val="b"/>
      <c:layout>
        <c:manualLayout>
          <c:xMode val="edge"/>
          <c:yMode val="edge"/>
          <c:x val="8.8524059492563423E-2"/>
          <c:y val="0.55929739278691759"/>
          <c:w val="0.82295188101487315"/>
          <c:h val="0.37744835000234617"/>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15875" cap="flat" cmpd="sng" algn="ctr">
      <a:solidFill>
        <a:schemeClr val="tx1">
          <a:lumMod val="50000"/>
          <a:lumOff val="50000"/>
        </a:schemeClr>
      </a:solidFill>
      <a:round/>
    </a:ln>
    <a:effectLst/>
  </c:spPr>
  <c:txPr>
    <a:bodyPr/>
    <a:lstStyle/>
    <a:p>
      <a:pPr>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v-LV" sz="1600"/>
              <a:t>Atcelto aizgādņu skaits</a:t>
            </a:r>
            <a:endParaRPr lang="en-GB" sz="16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Sheet2!$L$149</c:f>
              <c:strCache>
                <c:ptCount val="1"/>
                <c:pt idx="0">
                  <c:v>2012</c:v>
                </c:pt>
              </c:strCache>
            </c:strRef>
          </c:tx>
          <c:spPr>
            <a:solidFill>
              <a:srgbClr val="3D5DE3"/>
            </a:solidFill>
          </c:spPr>
          <c:invertIfNegative val="0"/>
          <c:dLbls>
            <c:spPr>
              <a:noFill/>
              <a:ln>
                <a:noFill/>
              </a:ln>
              <a:effectLst/>
            </c:spPr>
            <c:txPr>
              <a:bodyPr/>
              <a:lstStyle/>
              <a:p>
                <a:pPr>
                  <a:defRPr sz="1300" b="1" i="0" baseline="0">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Sheet2!$E$150:$K$152</c:f>
              <c:strCache>
                <c:ptCount val="3"/>
                <c:pt idx="0">
                  <c:v>Aizgādņu skaits, kuri pārskata gadā atcelti no pienākumu pildīšanas</c:v>
                </c:pt>
                <c:pt idx="1">
                  <c:v>Aizgādņi personai </c:v>
                </c:pt>
                <c:pt idx="2">
                  <c:v>Aizgādņi mantojumam vai prombūtnē esošas personas mantai</c:v>
                </c:pt>
              </c:strCache>
            </c:strRef>
          </c:cat>
          <c:val>
            <c:numRef>
              <c:f>Sheet2!$L$150:$L$152</c:f>
              <c:numCache>
                <c:formatCode>General</c:formatCode>
                <c:ptCount val="3"/>
                <c:pt idx="0">
                  <c:v>30</c:v>
                </c:pt>
                <c:pt idx="1">
                  <c:v>28</c:v>
                </c:pt>
                <c:pt idx="2">
                  <c:v>2</c:v>
                </c:pt>
              </c:numCache>
            </c:numRef>
          </c:val>
        </c:ser>
        <c:ser>
          <c:idx val="1"/>
          <c:order val="1"/>
          <c:tx>
            <c:strRef>
              <c:f>Sheet2!$M$149</c:f>
              <c:strCache>
                <c:ptCount val="1"/>
                <c:pt idx="0">
                  <c:v>2013</c:v>
                </c:pt>
              </c:strCache>
            </c:strRef>
          </c:tx>
          <c:spPr>
            <a:solidFill>
              <a:srgbClr val="6699FF"/>
            </a:solidFill>
          </c:spPr>
          <c:invertIfNegative val="0"/>
          <c:dLbls>
            <c:spPr>
              <a:noFill/>
              <a:ln>
                <a:noFill/>
              </a:ln>
              <a:effectLst/>
            </c:spPr>
            <c:txPr>
              <a:bodyPr/>
              <a:lstStyle/>
              <a:p>
                <a:pPr>
                  <a:defRPr sz="1300" b="1" i="0" baseline="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Sheet2!$E$150:$K$152</c:f>
              <c:strCache>
                <c:ptCount val="3"/>
                <c:pt idx="0">
                  <c:v>Aizgādņu skaits, kuri pārskata gadā atcelti no pienākumu pildīšanas</c:v>
                </c:pt>
                <c:pt idx="1">
                  <c:v>Aizgādņi personai </c:v>
                </c:pt>
                <c:pt idx="2">
                  <c:v>Aizgādņi mantojumam vai prombūtnē esošas personas mantai</c:v>
                </c:pt>
              </c:strCache>
            </c:strRef>
          </c:cat>
          <c:val>
            <c:numRef>
              <c:f>Sheet2!$M$150:$M$152</c:f>
              <c:numCache>
                <c:formatCode>General</c:formatCode>
                <c:ptCount val="3"/>
                <c:pt idx="0">
                  <c:v>14</c:v>
                </c:pt>
                <c:pt idx="1">
                  <c:v>10</c:v>
                </c:pt>
                <c:pt idx="2">
                  <c:v>4</c:v>
                </c:pt>
              </c:numCache>
            </c:numRef>
          </c:val>
        </c:ser>
        <c:ser>
          <c:idx val="2"/>
          <c:order val="2"/>
          <c:tx>
            <c:strRef>
              <c:f>Sheet2!$N$149</c:f>
              <c:strCache>
                <c:ptCount val="1"/>
                <c:pt idx="0">
                  <c:v>2014</c:v>
                </c:pt>
              </c:strCache>
            </c:strRef>
          </c:tx>
          <c:spPr>
            <a:solidFill>
              <a:schemeClr val="accent4">
                <a:lumMod val="75000"/>
              </a:schemeClr>
            </a:solidFill>
          </c:spPr>
          <c:invertIfNegative val="0"/>
          <c:dLbls>
            <c:spPr>
              <a:noFill/>
              <a:ln>
                <a:noFill/>
              </a:ln>
              <a:effectLst/>
            </c:spPr>
            <c:txPr>
              <a:bodyPr wrap="square" lIns="38100" tIns="19050" rIns="38100" bIns="19050" anchor="ctr">
                <a:spAutoFit/>
              </a:bodyPr>
              <a:lstStyle/>
              <a:p>
                <a:pPr>
                  <a:defRPr sz="1300" b="1" i="0" baseline="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Sheet2!$E$150:$K$152</c:f>
              <c:strCache>
                <c:ptCount val="3"/>
                <c:pt idx="0">
                  <c:v>Aizgādņu skaits, kuri pārskata gadā atcelti no pienākumu pildīšanas</c:v>
                </c:pt>
                <c:pt idx="1">
                  <c:v>Aizgādņi personai </c:v>
                </c:pt>
                <c:pt idx="2">
                  <c:v>Aizgādņi mantojumam vai prombūtnē esošas personas mantai</c:v>
                </c:pt>
              </c:strCache>
            </c:strRef>
          </c:cat>
          <c:val>
            <c:numRef>
              <c:f>Sheet2!$N$150:$N$152</c:f>
              <c:numCache>
                <c:formatCode>General</c:formatCode>
                <c:ptCount val="3"/>
                <c:pt idx="0">
                  <c:v>14</c:v>
                </c:pt>
                <c:pt idx="1">
                  <c:v>9</c:v>
                </c:pt>
                <c:pt idx="2">
                  <c:v>5</c:v>
                </c:pt>
              </c:numCache>
            </c:numRef>
          </c:val>
        </c:ser>
        <c:ser>
          <c:idx val="3"/>
          <c:order val="3"/>
          <c:tx>
            <c:strRef>
              <c:f>Sheet2!$O$149</c:f>
              <c:strCache>
                <c:ptCount val="1"/>
                <c:pt idx="0">
                  <c:v>2015</c:v>
                </c:pt>
              </c:strCache>
            </c:strRef>
          </c:tx>
          <c:spPr>
            <a:solidFill>
              <a:srgbClr val="FF0000"/>
            </a:solidFill>
          </c:spPr>
          <c:invertIfNegative val="0"/>
          <c:dLbls>
            <c:dLbl>
              <c:idx val="0"/>
              <c:layout>
                <c:manualLayout>
                  <c:x val="1.1111111111111112E-2"/>
                  <c:y val="1.388888888888884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1400" b="1">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Sheet2!$E$150:$K$152</c:f>
              <c:strCache>
                <c:ptCount val="3"/>
                <c:pt idx="0">
                  <c:v>Aizgādņu skaits, kuri pārskata gadā atcelti no pienākumu pildīšanas</c:v>
                </c:pt>
                <c:pt idx="1">
                  <c:v>Aizgādņi personai </c:v>
                </c:pt>
                <c:pt idx="2">
                  <c:v>Aizgādņi mantojumam vai prombūtnē esošas personas mantai</c:v>
                </c:pt>
              </c:strCache>
            </c:strRef>
          </c:cat>
          <c:val>
            <c:numRef>
              <c:f>Sheet2!$O$150:$O$152</c:f>
              <c:numCache>
                <c:formatCode>General</c:formatCode>
                <c:ptCount val="3"/>
                <c:pt idx="0">
                  <c:v>10</c:v>
                </c:pt>
                <c:pt idx="1">
                  <c:v>8</c:v>
                </c:pt>
                <c:pt idx="2">
                  <c:v>2</c:v>
                </c:pt>
              </c:numCache>
            </c:numRef>
          </c:val>
        </c:ser>
        <c:dLbls>
          <c:showLegendKey val="0"/>
          <c:showVal val="0"/>
          <c:showCatName val="0"/>
          <c:showSerName val="0"/>
          <c:showPercent val="0"/>
          <c:showBubbleSize val="0"/>
        </c:dLbls>
        <c:gapWidth val="150"/>
        <c:shape val="cylinder"/>
        <c:axId val="513063288"/>
        <c:axId val="513055056"/>
        <c:axId val="0"/>
      </c:bar3DChart>
      <c:catAx>
        <c:axId val="513063288"/>
        <c:scaling>
          <c:orientation val="minMax"/>
        </c:scaling>
        <c:delete val="0"/>
        <c:axPos val="b"/>
        <c:numFmt formatCode="General" sourceLinked="0"/>
        <c:majorTickMark val="out"/>
        <c:minorTickMark val="none"/>
        <c:tickLblPos val="nextTo"/>
        <c:txPr>
          <a:bodyPr/>
          <a:lstStyle/>
          <a:p>
            <a:pPr>
              <a:defRPr b="1" i="0" baseline="0">
                <a:solidFill>
                  <a:sysClr val="windowText" lastClr="000000"/>
                </a:solidFill>
              </a:defRPr>
            </a:pPr>
            <a:endParaRPr lang="en-US"/>
          </a:p>
        </c:txPr>
        <c:crossAx val="513055056"/>
        <c:crosses val="autoZero"/>
        <c:auto val="1"/>
        <c:lblAlgn val="ctr"/>
        <c:lblOffset val="100"/>
        <c:noMultiLvlLbl val="0"/>
      </c:catAx>
      <c:valAx>
        <c:axId val="513055056"/>
        <c:scaling>
          <c:orientation val="minMax"/>
        </c:scaling>
        <c:delete val="0"/>
        <c:axPos val="l"/>
        <c:majorGridlines/>
        <c:numFmt formatCode="General" sourceLinked="1"/>
        <c:majorTickMark val="out"/>
        <c:minorTickMark val="none"/>
        <c:tickLblPos val="nextTo"/>
        <c:crossAx val="513063288"/>
        <c:crosses val="autoZero"/>
        <c:crossBetween val="between"/>
      </c:valAx>
    </c:plotArea>
    <c:legend>
      <c:legendPos val="r"/>
      <c:overlay val="0"/>
      <c:txPr>
        <a:bodyPr/>
        <a:lstStyle/>
        <a:p>
          <a:pPr>
            <a:defRPr b="1" i="0" baseline="0">
              <a:solidFill>
                <a:sysClr val="windowText" lastClr="000000"/>
              </a:solidFill>
            </a:defRPr>
          </a:pPr>
          <a:endParaRPr lang="en-US"/>
        </a:p>
      </c:txPr>
    </c:legend>
    <c:plotVisOnly val="1"/>
    <c:dispBlanksAs val="gap"/>
    <c:showDLblsOverMax val="0"/>
  </c:chart>
  <c:spPr>
    <a:gradFill>
      <a:gsLst>
        <a:gs pos="74000">
          <a:schemeClr val="accent4">
            <a:lumMod val="60000"/>
            <a:lumOff val="40000"/>
          </a:schemeClr>
        </a:gs>
        <a:gs pos="20000">
          <a:schemeClr val="accent4">
            <a:lumMod val="40000"/>
            <a:lumOff val="60000"/>
          </a:schemeClr>
        </a:gs>
        <a:gs pos="0">
          <a:schemeClr val="accent4"/>
        </a:gs>
        <a:gs pos="50000">
          <a:schemeClr val="accent4">
            <a:lumMod val="40000"/>
            <a:lumOff val="60000"/>
          </a:schemeClr>
        </a:gs>
        <a:gs pos="100000">
          <a:schemeClr val="accent1">
            <a:tint val="23500"/>
            <a:satMod val="160000"/>
          </a:schemeClr>
        </a:gs>
      </a:gsLst>
      <a:lin ang="5400000" scaled="0"/>
    </a:gradFill>
    <a:ln w="15875">
      <a:solidFill>
        <a:schemeClr val="tx1">
          <a:lumMod val="50000"/>
          <a:lumOff val="50000"/>
        </a:schemeClr>
      </a:solidFill>
    </a:ln>
  </c:sp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lv-LV" b="1">
                <a:solidFill>
                  <a:sysClr val="windowText" lastClr="000000"/>
                </a:solidFill>
              </a:rPr>
              <a:t>Bāriņtiesas</a:t>
            </a:r>
            <a:r>
              <a:rPr lang="lv-LV" b="1" baseline="0">
                <a:solidFill>
                  <a:sysClr val="windowText" lastClr="000000"/>
                </a:solidFill>
              </a:rPr>
              <a:t> pieņemto lēmumu skaits kopā</a:t>
            </a:r>
            <a:endParaRPr lang="lv-LV"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5">
                  <a:lumMod val="75000"/>
                </a:schemeClr>
              </a:solidFill>
              <a:round/>
            </a:ln>
            <a:effectLst/>
          </c:spPr>
          <c:marker>
            <c:symbol val="none"/>
          </c:marker>
          <c:dLbls>
            <c:dLbl>
              <c:idx val="0"/>
              <c:layout>
                <c:manualLayout>
                  <c:x val="1.6666666666666614E-2"/>
                  <c:y val="-1.3888888888888931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8.3333333333332829E-3"/>
                  <c:y val="-9.2592592592592587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8.3333333333333332E-3"/>
                  <c:y val="-1.388888888888888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Sheet2!$C$29:$C$32</c:f>
              <c:numCache>
                <c:formatCode>General</c:formatCode>
                <c:ptCount val="4"/>
                <c:pt idx="0">
                  <c:v>2012</c:v>
                </c:pt>
                <c:pt idx="1">
                  <c:v>2013</c:v>
                </c:pt>
                <c:pt idx="2">
                  <c:v>2014</c:v>
                </c:pt>
                <c:pt idx="3">
                  <c:v>2015</c:v>
                </c:pt>
              </c:numCache>
            </c:numRef>
          </c:cat>
          <c:val>
            <c:numRef>
              <c:f>Sheet2!$D$29:$D$32</c:f>
              <c:numCache>
                <c:formatCode>General</c:formatCode>
                <c:ptCount val="4"/>
                <c:pt idx="0">
                  <c:v>15524</c:v>
                </c:pt>
                <c:pt idx="1">
                  <c:v>14869</c:v>
                </c:pt>
                <c:pt idx="2">
                  <c:v>13821</c:v>
                </c:pt>
                <c:pt idx="3">
                  <c:v>13004</c:v>
                </c:pt>
              </c:numCache>
            </c:numRef>
          </c:val>
          <c:smooth val="0"/>
        </c:ser>
        <c:dLbls>
          <c:showLegendKey val="0"/>
          <c:showVal val="0"/>
          <c:showCatName val="0"/>
          <c:showSerName val="0"/>
          <c:showPercent val="0"/>
          <c:showBubbleSize val="0"/>
        </c:dLbls>
        <c:smooth val="0"/>
        <c:axId val="513053488"/>
        <c:axId val="513053880"/>
      </c:lineChart>
      <c:catAx>
        <c:axId val="513053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513053880"/>
        <c:crosses val="autoZero"/>
        <c:auto val="1"/>
        <c:lblAlgn val="ctr"/>
        <c:lblOffset val="100"/>
        <c:noMultiLvlLbl val="0"/>
      </c:catAx>
      <c:valAx>
        <c:axId val="513053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3053488"/>
        <c:crosses val="autoZero"/>
        <c:crossBetween val="between"/>
      </c:valAx>
      <c:spPr>
        <a:noFill/>
        <a:ln>
          <a:noFill/>
        </a:ln>
        <a:effectLst/>
      </c:spPr>
    </c:plotArea>
    <c:plotVisOnly val="1"/>
    <c:dispBlanksAs val="gap"/>
    <c:showDLblsOverMax val="0"/>
  </c:chart>
  <c:spPr>
    <a:gradFill>
      <a:gsLst>
        <a:gs pos="0">
          <a:srgbClr val="CCECFF"/>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15875" cap="flat" cmpd="sng" algn="ctr">
      <a:solidFill>
        <a:schemeClr val="bg1">
          <a:lumMod val="65000"/>
        </a:schemeClr>
      </a:solidFill>
      <a:round/>
    </a:ln>
    <a:effectLst/>
  </c:spPr>
  <c:txPr>
    <a:bodyPr/>
    <a:lstStyle/>
    <a:p>
      <a:pPr>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solidFill>
                  <a:sysClr val="windowText" lastClr="000000"/>
                </a:solidFill>
              </a:rPr>
              <a:t>Vienpersoniski</a:t>
            </a:r>
            <a:r>
              <a:rPr lang="lv-LV" b="1" baseline="0">
                <a:solidFill>
                  <a:sysClr val="windowText" lastClr="000000"/>
                </a:solidFill>
              </a:rPr>
              <a:t> pieņemto lēmumu skaits</a:t>
            </a:r>
            <a:endParaRPr lang="lv-LV"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6">
                <a:lumMod val="75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Sheet2!$C$48:$C$51</c:f>
              <c:numCache>
                <c:formatCode>General</c:formatCode>
                <c:ptCount val="4"/>
                <c:pt idx="0">
                  <c:v>2012</c:v>
                </c:pt>
                <c:pt idx="1">
                  <c:v>2013</c:v>
                </c:pt>
                <c:pt idx="2">
                  <c:v>2014</c:v>
                </c:pt>
                <c:pt idx="3">
                  <c:v>2015</c:v>
                </c:pt>
              </c:numCache>
            </c:numRef>
          </c:cat>
          <c:val>
            <c:numRef>
              <c:f>Sheet2!$D$48:$D$51</c:f>
              <c:numCache>
                <c:formatCode>General</c:formatCode>
                <c:ptCount val="4"/>
                <c:pt idx="0">
                  <c:v>735</c:v>
                </c:pt>
                <c:pt idx="1">
                  <c:v>649</c:v>
                </c:pt>
                <c:pt idx="2">
                  <c:v>488</c:v>
                </c:pt>
                <c:pt idx="3">
                  <c:v>408</c:v>
                </c:pt>
              </c:numCache>
            </c:numRef>
          </c:val>
        </c:ser>
        <c:dLbls>
          <c:showLegendKey val="0"/>
          <c:showVal val="0"/>
          <c:showCatName val="0"/>
          <c:showSerName val="0"/>
          <c:showPercent val="0"/>
          <c:showBubbleSize val="0"/>
        </c:dLbls>
        <c:gapWidth val="219"/>
        <c:shape val="box"/>
        <c:axId val="513054664"/>
        <c:axId val="513063680"/>
        <c:axId val="0"/>
      </c:bar3DChart>
      <c:catAx>
        <c:axId val="513054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513063680"/>
        <c:crosses val="autoZero"/>
        <c:auto val="1"/>
        <c:lblAlgn val="ctr"/>
        <c:lblOffset val="100"/>
        <c:noMultiLvlLbl val="0"/>
      </c:catAx>
      <c:valAx>
        <c:axId val="513063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3054664"/>
        <c:crosses val="autoZero"/>
        <c:crossBetween val="between"/>
      </c:valAx>
      <c:spPr>
        <a:noFill/>
        <a:ln>
          <a:noFill/>
        </a:ln>
        <a:effectLst/>
      </c:spPr>
    </c:plotArea>
    <c:plotVisOnly val="1"/>
    <c:dispBlanksAs val="gap"/>
    <c:showDLblsOverMax val="0"/>
  </c:chart>
  <c:spPr>
    <a:gradFill>
      <a:gsLst>
        <a:gs pos="0">
          <a:schemeClr val="accent1">
            <a:lumMod val="5000"/>
            <a:lumOff val="95000"/>
          </a:schemeClr>
        </a:gs>
        <a:gs pos="74000">
          <a:srgbClr val="FDF7A5"/>
        </a:gs>
        <a:gs pos="83000">
          <a:schemeClr val="accent6">
            <a:lumMod val="40000"/>
            <a:lumOff val="60000"/>
          </a:schemeClr>
        </a:gs>
        <a:gs pos="100000">
          <a:schemeClr val="accent6">
            <a:lumMod val="40000"/>
            <a:lumOff val="60000"/>
          </a:schemeClr>
        </a:gs>
      </a:gsLst>
      <a:lin ang="5400000" scaled="1"/>
    </a:gradFill>
    <a:ln w="1587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v-LV"/>
              <a:t>Vienpersoniski pieņemto lēmumu skaits</a:t>
            </a:r>
            <a:endParaRPr lang="en-GB"/>
          </a:p>
        </c:rich>
      </c:tx>
      <c:overlay val="0"/>
    </c:title>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Sheet1!$G$244</c:f>
              <c:strCache>
                <c:ptCount val="1"/>
                <c:pt idx="0">
                  <c:v>Par bērna izņemšanu no audžuģimenes aprūpes un audžuģimenes atstādināšanu no pienākumu pildīšanas</c:v>
                </c:pt>
              </c:strCache>
            </c:strRef>
          </c:tx>
          <c:spPr>
            <a:solidFill>
              <a:schemeClr val="accent2">
                <a:lumMod val="75000"/>
              </a:schemeClr>
            </a:solidFill>
          </c:spPr>
          <c:invertIfNegative val="0"/>
          <c:dLbls>
            <c:spPr>
              <a:noFill/>
              <a:ln>
                <a:noFill/>
              </a:ln>
              <a:effectLst/>
            </c:spPr>
            <c:txPr>
              <a:bodyPr/>
              <a:lstStyle/>
              <a:p>
                <a:pPr>
                  <a:defRPr b="1" i="0" baseline="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Sheet1!$H$243:$K$243</c:f>
              <c:numCache>
                <c:formatCode>General</c:formatCode>
                <c:ptCount val="4"/>
                <c:pt idx="0">
                  <c:v>2012</c:v>
                </c:pt>
                <c:pt idx="1">
                  <c:v>2013</c:v>
                </c:pt>
                <c:pt idx="2">
                  <c:v>2014</c:v>
                </c:pt>
                <c:pt idx="3">
                  <c:v>2015</c:v>
                </c:pt>
              </c:numCache>
            </c:numRef>
          </c:cat>
          <c:val>
            <c:numRef>
              <c:f>Sheet1!$H$244:$K$244</c:f>
              <c:numCache>
                <c:formatCode>General</c:formatCode>
                <c:ptCount val="4"/>
                <c:pt idx="0">
                  <c:v>12</c:v>
                </c:pt>
                <c:pt idx="1">
                  <c:v>11</c:v>
                </c:pt>
                <c:pt idx="2">
                  <c:v>7</c:v>
                </c:pt>
                <c:pt idx="3">
                  <c:v>3</c:v>
                </c:pt>
              </c:numCache>
            </c:numRef>
          </c:val>
        </c:ser>
        <c:ser>
          <c:idx val="1"/>
          <c:order val="1"/>
          <c:tx>
            <c:strRef>
              <c:f>Sheet1!$G$245</c:f>
              <c:strCache>
                <c:ptCount val="1"/>
                <c:pt idx="0">
                  <c:v>Par bērna izņemšanu no aizbildņa aprūpes un aizbildņa atstādināšanu no pienākumu pildīšanas</c:v>
                </c:pt>
              </c:strCache>
            </c:strRef>
          </c:tx>
          <c:spPr>
            <a:solidFill>
              <a:schemeClr val="accent4">
                <a:lumMod val="60000"/>
                <a:lumOff val="40000"/>
              </a:schemeClr>
            </a:solidFill>
          </c:spPr>
          <c:invertIfNegative val="0"/>
          <c:dLbls>
            <c:spPr>
              <a:noFill/>
              <a:ln>
                <a:noFill/>
              </a:ln>
              <a:effectLst/>
            </c:spPr>
            <c:txPr>
              <a:bodyPr/>
              <a:lstStyle/>
              <a:p>
                <a:pPr>
                  <a:defRPr b="1" i="0" baseline="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Sheet1!$H$243:$K$243</c:f>
              <c:numCache>
                <c:formatCode>General</c:formatCode>
                <c:ptCount val="4"/>
                <c:pt idx="0">
                  <c:v>2012</c:v>
                </c:pt>
                <c:pt idx="1">
                  <c:v>2013</c:v>
                </c:pt>
                <c:pt idx="2">
                  <c:v>2014</c:v>
                </c:pt>
                <c:pt idx="3">
                  <c:v>2015</c:v>
                </c:pt>
              </c:numCache>
            </c:numRef>
          </c:cat>
          <c:val>
            <c:numRef>
              <c:f>Sheet1!$H$245:$K$245</c:f>
              <c:numCache>
                <c:formatCode>General</c:formatCode>
                <c:ptCount val="4"/>
                <c:pt idx="0">
                  <c:v>41</c:v>
                </c:pt>
                <c:pt idx="1">
                  <c:v>35</c:v>
                </c:pt>
                <c:pt idx="2">
                  <c:v>21</c:v>
                </c:pt>
                <c:pt idx="3">
                  <c:v>24</c:v>
                </c:pt>
              </c:numCache>
            </c:numRef>
          </c:val>
        </c:ser>
        <c:ser>
          <c:idx val="2"/>
          <c:order val="2"/>
          <c:tx>
            <c:strRef>
              <c:f>Sheet1!$G$246</c:f>
              <c:strCache>
                <c:ptCount val="1"/>
                <c:pt idx="0">
                  <c:v>Par bērna aizgādības tiesību pārtraukšanu</c:v>
                </c:pt>
              </c:strCache>
            </c:strRef>
          </c:tx>
          <c:spPr>
            <a:solidFill>
              <a:schemeClr val="accent1">
                <a:lumMod val="60000"/>
                <a:lumOff val="40000"/>
              </a:schemeClr>
            </a:solidFill>
          </c:spPr>
          <c:invertIfNegative val="0"/>
          <c:dLbls>
            <c:spPr>
              <a:noFill/>
              <a:ln>
                <a:noFill/>
              </a:ln>
              <a:effectLst/>
            </c:spPr>
            <c:txPr>
              <a:bodyPr/>
              <a:lstStyle/>
              <a:p>
                <a:pPr>
                  <a:defRPr b="1" i="0" baseline="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Sheet1!$H$243:$K$243</c:f>
              <c:numCache>
                <c:formatCode>General</c:formatCode>
                <c:ptCount val="4"/>
                <c:pt idx="0">
                  <c:v>2012</c:v>
                </c:pt>
                <c:pt idx="1">
                  <c:v>2013</c:v>
                </c:pt>
                <c:pt idx="2">
                  <c:v>2014</c:v>
                </c:pt>
                <c:pt idx="3">
                  <c:v>2015</c:v>
                </c:pt>
              </c:numCache>
            </c:numRef>
          </c:cat>
          <c:val>
            <c:numRef>
              <c:f>Sheet1!$H$246:$K$246</c:f>
              <c:numCache>
                <c:formatCode>General</c:formatCode>
                <c:ptCount val="4"/>
                <c:pt idx="0">
                  <c:v>682</c:v>
                </c:pt>
                <c:pt idx="1">
                  <c:v>603</c:v>
                </c:pt>
                <c:pt idx="2">
                  <c:v>460</c:v>
                </c:pt>
                <c:pt idx="3">
                  <c:v>381</c:v>
                </c:pt>
              </c:numCache>
            </c:numRef>
          </c:val>
        </c:ser>
        <c:dLbls>
          <c:showLegendKey val="0"/>
          <c:showVal val="0"/>
          <c:showCatName val="0"/>
          <c:showSerName val="0"/>
          <c:showPercent val="0"/>
          <c:showBubbleSize val="0"/>
        </c:dLbls>
        <c:gapWidth val="150"/>
        <c:shape val="cylinder"/>
        <c:axId val="513055448"/>
        <c:axId val="513055840"/>
        <c:axId val="0"/>
      </c:bar3DChart>
      <c:catAx>
        <c:axId val="513055448"/>
        <c:scaling>
          <c:orientation val="minMax"/>
        </c:scaling>
        <c:delete val="0"/>
        <c:axPos val="l"/>
        <c:numFmt formatCode="General" sourceLinked="1"/>
        <c:majorTickMark val="out"/>
        <c:minorTickMark val="none"/>
        <c:tickLblPos val="nextTo"/>
        <c:txPr>
          <a:bodyPr/>
          <a:lstStyle/>
          <a:p>
            <a:pPr>
              <a:defRPr b="1" i="0" baseline="0">
                <a:solidFill>
                  <a:sysClr val="windowText" lastClr="000000"/>
                </a:solidFill>
              </a:defRPr>
            </a:pPr>
            <a:endParaRPr lang="en-US"/>
          </a:p>
        </c:txPr>
        <c:crossAx val="513055840"/>
        <c:crosses val="autoZero"/>
        <c:auto val="1"/>
        <c:lblAlgn val="ctr"/>
        <c:lblOffset val="100"/>
        <c:noMultiLvlLbl val="0"/>
      </c:catAx>
      <c:valAx>
        <c:axId val="513055840"/>
        <c:scaling>
          <c:orientation val="minMax"/>
        </c:scaling>
        <c:delete val="0"/>
        <c:axPos val="b"/>
        <c:majorGridlines/>
        <c:numFmt formatCode="General" sourceLinked="1"/>
        <c:majorTickMark val="out"/>
        <c:minorTickMark val="none"/>
        <c:tickLblPos val="nextTo"/>
        <c:crossAx val="513055448"/>
        <c:crosses val="autoZero"/>
        <c:crossBetween val="between"/>
      </c:valAx>
    </c:plotArea>
    <c:legend>
      <c:legendPos val="r"/>
      <c:overlay val="0"/>
      <c:txPr>
        <a:bodyPr/>
        <a:lstStyle/>
        <a:p>
          <a:pPr>
            <a:defRPr b="1"/>
          </a:pPr>
          <a:endParaRPr lang="en-US"/>
        </a:p>
      </c:txPr>
    </c:legend>
    <c:plotVisOnly val="1"/>
    <c:dispBlanksAs val="gap"/>
    <c:showDLblsOverMax val="0"/>
  </c:chart>
  <c:spPr>
    <a:ln w="15875">
      <a:solidFill>
        <a:schemeClr val="tx1">
          <a:lumMod val="50000"/>
          <a:lumOff val="50000"/>
        </a:schemeClr>
      </a:solidFill>
    </a:ln>
  </c:sp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baseline="0">
                <a:solidFill>
                  <a:sysClr val="windowText" lastClr="000000"/>
                </a:solidFill>
              </a:rPr>
              <a:t>Bāriņtiesas lēmumu pārsūdzība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Sheet1!$F$205</c:f>
              <c:strCache>
                <c:ptCount val="1"/>
                <c:pt idx="0">
                  <c:v>Bāriņtiesas lēmumu skaits, kuri pārsūdzēti tiesā</c:v>
                </c:pt>
              </c:strCache>
            </c:strRef>
          </c:tx>
          <c:spPr>
            <a:solidFill>
              <a:schemeClr val="accent4">
                <a:lumMod val="75000"/>
                <a:alpha val="95000"/>
              </a:schemeClr>
            </a:solidFill>
            <a:ln>
              <a:noFill/>
            </a:ln>
            <a:effectLst>
              <a:glow>
                <a:schemeClr val="accent1">
                  <a:alpha val="40000"/>
                </a:schemeClr>
              </a:glow>
              <a:softEdge rad="0"/>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Sheet1!$G$203:$J$204</c:f>
              <c:strCache>
                <c:ptCount val="4"/>
                <c:pt idx="0">
                  <c:v>2012</c:v>
                </c:pt>
                <c:pt idx="1">
                  <c:v>2013</c:v>
                </c:pt>
                <c:pt idx="2">
                  <c:v>2014</c:v>
                </c:pt>
                <c:pt idx="3">
                  <c:v>2015</c:v>
                </c:pt>
              </c:strCache>
            </c:strRef>
          </c:cat>
          <c:val>
            <c:numRef>
              <c:f>Sheet1!$G$205:$J$205</c:f>
              <c:numCache>
                <c:formatCode>General</c:formatCode>
                <c:ptCount val="4"/>
                <c:pt idx="0">
                  <c:v>81</c:v>
                </c:pt>
                <c:pt idx="1">
                  <c:v>85</c:v>
                </c:pt>
                <c:pt idx="2">
                  <c:v>48</c:v>
                </c:pt>
                <c:pt idx="3">
                  <c:v>67</c:v>
                </c:pt>
              </c:numCache>
            </c:numRef>
          </c:val>
        </c:ser>
        <c:ser>
          <c:idx val="1"/>
          <c:order val="1"/>
          <c:tx>
            <c:strRef>
              <c:f>Sheet1!$F$206</c:f>
              <c:strCache>
                <c:ptCount val="1"/>
                <c:pt idx="0">
                  <c:v>Bāriņtiesas lēmumu skaits, kuri ar tiesas spriedumu atstāti spēkā</c:v>
                </c:pt>
              </c:strCache>
            </c:strRef>
          </c:tx>
          <c:spPr>
            <a:solidFill>
              <a:schemeClr val="accent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Sheet1!$G$203:$J$204</c:f>
              <c:strCache>
                <c:ptCount val="4"/>
                <c:pt idx="0">
                  <c:v>2012</c:v>
                </c:pt>
                <c:pt idx="1">
                  <c:v>2013</c:v>
                </c:pt>
                <c:pt idx="2">
                  <c:v>2014</c:v>
                </c:pt>
                <c:pt idx="3">
                  <c:v>2015</c:v>
                </c:pt>
              </c:strCache>
            </c:strRef>
          </c:cat>
          <c:val>
            <c:numRef>
              <c:f>Sheet1!$G$206:$J$206</c:f>
              <c:numCache>
                <c:formatCode>General</c:formatCode>
                <c:ptCount val="4"/>
                <c:pt idx="0">
                  <c:v>39</c:v>
                </c:pt>
                <c:pt idx="1">
                  <c:v>46</c:v>
                </c:pt>
                <c:pt idx="2">
                  <c:v>33</c:v>
                </c:pt>
                <c:pt idx="3">
                  <c:v>39</c:v>
                </c:pt>
              </c:numCache>
            </c:numRef>
          </c:val>
        </c:ser>
        <c:ser>
          <c:idx val="2"/>
          <c:order val="2"/>
          <c:tx>
            <c:strRef>
              <c:f>Sheet1!$F$207</c:f>
              <c:strCache>
                <c:ptCount val="1"/>
                <c:pt idx="0">
                  <c:v>Bāriņtiesas lēmumu skaits, kuri ar tiesas spriedumu atcelti</c:v>
                </c:pt>
              </c:strCache>
            </c:strRef>
          </c:tx>
          <c:spPr>
            <a:solidFill>
              <a:srgbClr val="A5002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Sheet1!$G$203:$J$204</c:f>
              <c:strCache>
                <c:ptCount val="4"/>
                <c:pt idx="0">
                  <c:v>2012</c:v>
                </c:pt>
                <c:pt idx="1">
                  <c:v>2013</c:v>
                </c:pt>
                <c:pt idx="2">
                  <c:v>2014</c:v>
                </c:pt>
                <c:pt idx="3">
                  <c:v>2015</c:v>
                </c:pt>
              </c:strCache>
            </c:strRef>
          </c:cat>
          <c:val>
            <c:numRef>
              <c:f>Sheet1!$G$207:$J$207</c:f>
              <c:numCache>
                <c:formatCode>General</c:formatCode>
                <c:ptCount val="4"/>
                <c:pt idx="0">
                  <c:v>6</c:v>
                </c:pt>
                <c:pt idx="1">
                  <c:v>6</c:v>
                </c:pt>
                <c:pt idx="2">
                  <c:v>0</c:v>
                </c:pt>
                <c:pt idx="3">
                  <c:v>5</c:v>
                </c:pt>
              </c:numCache>
            </c:numRef>
          </c:val>
        </c:ser>
        <c:dLbls>
          <c:showLegendKey val="0"/>
          <c:showVal val="0"/>
          <c:showCatName val="0"/>
          <c:showSerName val="0"/>
          <c:showPercent val="0"/>
          <c:showBubbleSize val="0"/>
        </c:dLbls>
        <c:gapWidth val="187"/>
        <c:overlap val="-27"/>
        <c:axId val="513056624"/>
        <c:axId val="513058584"/>
      </c:barChart>
      <c:catAx>
        <c:axId val="513056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13058584"/>
        <c:crosses val="autoZero"/>
        <c:auto val="1"/>
        <c:lblAlgn val="ctr"/>
        <c:lblOffset val="100"/>
        <c:noMultiLvlLbl val="0"/>
      </c:catAx>
      <c:valAx>
        <c:axId val="513058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3056624"/>
        <c:crosses val="autoZero"/>
        <c:crossBetween val="between"/>
      </c:valAx>
      <c:spPr>
        <a:noFill/>
        <a:ln cmpd="sng">
          <a:solidFill>
            <a:schemeClr val="accent1"/>
          </a:solid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gradFill>
      <a:gsLst>
        <a:gs pos="0">
          <a:schemeClr val="accent2">
            <a:lumMod val="40000"/>
            <a:lumOff val="6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22225" cap="flat" cmpd="sng" algn="ctr">
      <a:solidFill>
        <a:schemeClr val="tx1">
          <a:lumMod val="65000"/>
          <a:lumOff val="35000"/>
        </a:schemeClr>
      </a:solidFill>
      <a:round/>
    </a:ln>
    <a:effectLst>
      <a:glow rad="50800">
        <a:schemeClr val="accent1">
          <a:alpha val="40000"/>
        </a:schemeClr>
      </a:glow>
      <a:outerShdw blurRad="50800" dist="50800" dir="2400000" algn="ctr" rotWithShape="0">
        <a:srgbClr val="000000">
          <a:alpha val="43137"/>
        </a:srgbClr>
      </a:outerShdw>
      <a:softEdge rad="0"/>
    </a:effectLst>
  </c:spPr>
  <c:txPr>
    <a:bodyPr/>
    <a:lstStyle/>
    <a:p>
      <a:pPr>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sz="1400" b="1" baseline="0">
                <a:solidFill>
                  <a:schemeClr val="tx1">
                    <a:lumMod val="95000"/>
                    <a:lumOff val="5000"/>
                  </a:schemeClr>
                </a:solidFill>
              </a:rPr>
              <a:t>Bāriņtiesas faktiskās rīcības pārsūdzība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Sheet3!$C$21</c:f>
              <c:strCache>
                <c:ptCount val="1"/>
                <c:pt idx="0">
                  <c:v>2012</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Sheet3!$B$22:$B$24</c:f>
              <c:strCache>
                <c:ptCount val="3"/>
                <c:pt idx="0">
                  <c:v>Pārsūdzību skaits, attiecībā uz kurām pieņemts bāriņtiesām nelabvēlīgs tiesas spriedums</c:v>
                </c:pt>
                <c:pt idx="1">
                  <c:v>Pārsūdzību skaits, attiecībā uz kurām pieņemts bāriņtiesām labvēlīgs tiesas spriedums</c:v>
                </c:pt>
                <c:pt idx="2">
                  <c:v>Bāriņtiesas faktiskās rīcības pārsūdzības gadījumi</c:v>
                </c:pt>
              </c:strCache>
            </c:strRef>
          </c:cat>
          <c:val>
            <c:numRef>
              <c:f>Sheet3!$C$22:$C$24</c:f>
              <c:numCache>
                <c:formatCode>General</c:formatCode>
                <c:ptCount val="3"/>
                <c:pt idx="0">
                  <c:v>2</c:v>
                </c:pt>
                <c:pt idx="1">
                  <c:v>10</c:v>
                </c:pt>
                <c:pt idx="2">
                  <c:v>14</c:v>
                </c:pt>
              </c:numCache>
            </c:numRef>
          </c:val>
        </c:ser>
        <c:ser>
          <c:idx val="1"/>
          <c:order val="1"/>
          <c:tx>
            <c:strRef>
              <c:f>Sheet3!$D$21</c:f>
              <c:strCache>
                <c:ptCount val="1"/>
                <c:pt idx="0">
                  <c:v>2013</c:v>
                </c:pt>
              </c:strCache>
            </c:strRef>
          </c:tx>
          <c:spPr>
            <a:solidFill>
              <a:schemeClr val="accent6">
                <a:lumMod val="7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Sheet3!$B$22:$B$24</c:f>
              <c:strCache>
                <c:ptCount val="3"/>
                <c:pt idx="0">
                  <c:v>Pārsūdzību skaits, attiecībā uz kurām pieņemts bāriņtiesām nelabvēlīgs tiesas spriedums</c:v>
                </c:pt>
                <c:pt idx="1">
                  <c:v>Pārsūdzību skaits, attiecībā uz kurām pieņemts bāriņtiesām labvēlīgs tiesas spriedums</c:v>
                </c:pt>
                <c:pt idx="2">
                  <c:v>Bāriņtiesas faktiskās rīcības pārsūdzības gadījumi</c:v>
                </c:pt>
              </c:strCache>
            </c:strRef>
          </c:cat>
          <c:val>
            <c:numRef>
              <c:f>Sheet3!$D$22:$D$24</c:f>
              <c:numCache>
                <c:formatCode>General</c:formatCode>
                <c:ptCount val="3"/>
                <c:pt idx="1">
                  <c:v>11</c:v>
                </c:pt>
                <c:pt idx="2">
                  <c:v>11</c:v>
                </c:pt>
              </c:numCache>
            </c:numRef>
          </c:val>
        </c:ser>
        <c:ser>
          <c:idx val="2"/>
          <c:order val="2"/>
          <c:tx>
            <c:strRef>
              <c:f>Sheet3!$E$21</c:f>
              <c:strCache>
                <c:ptCount val="1"/>
                <c:pt idx="0">
                  <c:v>2014</c:v>
                </c:pt>
              </c:strCache>
            </c:strRef>
          </c:tx>
          <c:spPr>
            <a:solidFill>
              <a:schemeClr val="accent2">
                <a:lumMod val="60000"/>
                <a:lumOff val="40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Sheet3!$B$22:$B$24</c:f>
              <c:strCache>
                <c:ptCount val="3"/>
                <c:pt idx="0">
                  <c:v>Pārsūdzību skaits, attiecībā uz kurām pieņemts bāriņtiesām nelabvēlīgs tiesas spriedums</c:v>
                </c:pt>
                <c:pt idx="1">
                  <c:v>Pārsūdzību skaits, attiecībā uz kurām pieņemts bāriņtiesām labvēlīgs tiesas spriedums</c:v>
                </c:pt>
                <c:pt idx="2">
                  <c:v>Bāriņtiesas faktiskās rīcības pārsūdzības gadījumi</c:v>
                </c:pt>
              </c:strCache>
            </c:strRef>
          </c:cat>
          <c:val>
            <c:numRef>
              <c:f>Sheet3!$E$22:$E$24</c:f>
              <c:numCache>
                <c:formatCode>General</c:formatCode>
                <c:ptCount val="3"/>
                <c:pt idx="1">
                  <c:v>6</c:v>
                </c:pt>
                <c:pt idx="2">
                  <c:v>6</c:v>
                </c:pt>
              </c:numCache>
            </c:numRef>
          </c:val>
        </c:ser>
        <c:ser>
          <c:idx val="3"/>
          <c:order val="3"/>
          <c:tx>
            <c:strRef>
              <c:f>Sheet3!$F$21</c:f>
              <c:strCache>
                <c:ptCount val="1"/>
                <c:pt idx="0">
                  <c:v>2015</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800" b="1"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Sheet3!$B$22:$B$24</c:f>
              <c:strCache>
                <c:ptCount val="3"/>
                <c:pt idx="0">
                  <c:v>Pārsūdzību skaits, attiecībā uz kurām pieņemts bāriņtiesām nelabvēlīgs tiesas spriedums</c:v>
                </c:pt>
                <c:pt idx="1">
                  <c:v>Pārsūdzību skaits, attiecībā uz kurām pieņemts bāriņtiesām labvēlīgs tiesas spriedums</c:v>
                </c:pt>
                <c:pt idx="2">
                  <c:v>Bāriņtiesas faktiskās rīcības pārsūdzības gadījumi</c:v>
                </c:pt>
              </c:strCache>
            </c:strRef>
          </c:cat>
          <c:val>
            <c:numRef>
              <c:f>Sheet3!$F$22:$F$24</c:f>
              <c:numCache>
                <c:formatCode>General</c:formatCode>
                <c:ptCount val="3"/>
                <c:pt idx="0">
                  <c:v>1</c:v>
                </c:pt>
                <c:pt idx="1">
                  <c:v>3</c:v>
                </c:pt>
                <c:pt idx="2">
                  <c:v>5</c:v>
                </c:pt>
              </c:numCache>
            </c:numRef>
          </c:val>
        </c:ser>
        <c:dLbls>
          <c:dLblPos val="ctr"/>
          <c:showLegendKey val="0"/>
          <c:showVal val="1"/>
          <c:showCatName val="0"/>
          <c:showSerName val="0"/>
          <c:showPercent val="0"/>
          <c:showBubbleSize val="0"/>
        </c:dLbls>
        <c:gapWidth val="150"/>
        <c:overlap val="100"/>
        <c:axId val="513065640"/>
        <c:axId val="513067992"/>
      </c:barChart>
      <c:catAx>
        <c:axId val="51306564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tx1">
                    <a:lumMod val="85000"/>
                    <a:lumOff val="15000"/>
                  </a:schemeClr>
                </a:solidFill>
                <a:latin typeface="+mn-lt"/>
                <a:ea typeface="+mn-ea"/>
                <a:cs typeface="+mn-cs"/>
              </a:defRPr>
            </a:pPr>
            <a:endParaRPr lang="en-US"/>
          </a:p>
        </c:txPr>
        <c:crossAx val="513067992"/>
        <c:crosses val="autoZero"/>
        <c:auto val="1"/>
        <c:lblAlgn val="ctr"/>
        <c:lblOffset val="100"/>
        <c:noMultiLvlLbl val="0"/>
      </c:catAx>
      <c:valAx>
        <c:axId val="513067992"/>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51306564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400" b="1" i="0" u="none" strike="noStrike" kern="1200" baseline="0">
              <a:solidFill>
                <a:schemeClr val="tx1">
                  <a:lumMod val="85000"/>
                  <a:lumOff val="1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15875" cap="flat" cmpd="sng" algn="ctr">
      <a:solidFill>
        <a:schemeClr val="tx1">
          <a:lumMod val="50000"/>
          <a:lumOff val="50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lv-LV"/>
              <a:t>Personu skaits, par kurām, pārtraucot aizgādības tiesības, bāriņtiesa informējusi tiesībaizsardzības iestādes</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pieChart>
        <c:varyColors val="1"/>
        <c:ser>
          <c:idx val="0"/>
          <c:order val="0"/>
          <c:tx>
            <c:strRef>
              <c:f>Sheet1!$B$90</c:f>
              <c:strCache>
                <c:ptCount val="1"/>
                <c:pt idx="0">
                  <c:v>Personu skaits, par kurām, pārtraucot aizgādības tiesības, bāriņtiesa informējusi tiesībsaizsardzības iestādes</c:v>
                </c:pt>
              </c:strCache>
            </c:strRef>
          </c:tx>
          <c:spPr>
            <a:solidFill>
              <a:srgbClr val="FF9999"/>
            </a:solidFill>
          </c:spPr>
          <c:dPt>
            <c:idx val="0"/>
            <c:bubble3D val="0"/>
            <c:spPr>
              <a:solidFill>
                <a:srgbClr val="FF9999"/>
              </a:solidFill>
              <a:ln w="19050">
                <a:solidFill>
                  <a:schemeClr val="lt1"/>
                </a:solidFill>
              </a:ln>
              <a:effectLst/>
            </c:spPr>
          </c:dPt>
          <c:dPt>
            <c:idx val="1"/>
            <c:bubble3D val="0"/>
            <c:spPr>
              <a:solidFill>
                <a:srgbClr val="FF9999"/>
              </a:solidFill>
              <a:ln w="19050">
                <a:solidFill>
                  <a:schemeClr val="lt1"/>
                </a:solidFill>
              </a:ln>
              <a:effectLst/>
            </c:spPr>
          </c:dPt>
          <c:dPt>
            <c:idx val="2"/>
            <c:bubble3D val="0"/>
            <c:spPr>
              <a:solidFill>
                <a:srgbClr val="FF9999"/>
              </a:solidFill>
              <a:ln w="19050">
                <a:solidFill>
                  <a:schemeClr val="lt1"/>
                </a:solidFill>
              </a:ln>
              <a:effectLst/>
            </c:spPr>
          </c:dPt>
          <c:dPt>
            <c:idx val="3"/>
            <c:bubble3D val="0"/>
            <c:spPr>
              <a:solidFill>
                <a:srgbClr val="FF9999"/>
              </a:solidFill>
              <a:ln w="19050">
                <a:solidFill>
                  <a:schemeClr val="lt1"/>
                </a:solidFill>
              </a:ln>
              <a:effectLst/>
            </c:spPr>
          </c:dPt>
          <c:dPt>
            <c:idx val="4"/>
            <c:bubble3D val="0"/>
            <c:spPr>
              <a:solidFill>
                <a:srgbClr val="FF9999"/>
              </a:solidFill>
              <a:ln w="19050">
                <a:solidFill>
                  <a:schemeClr val="lt1"/>
                </a:solidFill>
              </a:ln>
              <a:effectLst/>
            </c:spPr>
          </c:dPt>
          <c:dPt>
            <c:idx val="5"/>
            <c:bubble3D val="0"/>
            <c:spPr>
              <a:solidFill>
                <a:srgbClr val="6600FF"/>
              </a:solidFill>
              <a:ln w="19050">
                <a:solidFill>
                  <a:schemeClr val="lt1"/>
                </a:solidFill>
              </a:ln>
              <a:effectLst/>
            </c:spPr>
          </c:dPt>
          <c:dPt>
            <c:idx val="6"/>
            <c:bubble3D val="0"/>
            <c:spPr>
              <a:solidFill>
                <a:schemeClr val="accent4">
                  <a:lumMod val="75000"/>
                </a:schemeClr>
              </a:solidFill>
              <a:ln w="19050">
                <a:solidFill>
                  <a:schemeClr val="lt1"/>
                </a:solidFill>
              </a:ln>
              <a:effectLst/>
            </c:spPr>
          </c:dPt>
          <c:dPt>
            <c:idx val="7"/>
            <c:bubble3D val="0"/>
            <c:spPr>
              <a:solidFill>
                <a:srgbClr val="00CC99"/>
              </a:solidFill>
              <a:ln w="19050">
                <a:solidFill>
                  <a:schemeClr val="lt1"/>
                </a:solidFill>
              </a:ln>
              <a:effectLst/>
            </c:spPr>
          </c:dPt>
          <c:dPt>
            <c:idx val="8"/>
            <c:bubble3D val="0"/>
            <c:spPr>
              <a:solidFill>
                <a:schemeClr val="accent2">
                  <a:lumMod val="75000"/>
                </a:schemeClr>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n-U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Sheet1!$C$89:$K$89</c:f>
              <c:numCache>
                <c:formatCode>General</c:formatCode>
                <c:ptCount val="9"/>
                <c:pt idx="5">
                  <c:v>2012</c:v>
                </c:pt>
                <c:pt idx="6">
                  <c:v>2013</c:v>
                </c:pt>
                <c:pt idx="7">
                  <c:v>2014</c:v>
                </c:pt>
                <c:pt idx="8">
                  <c:v>2015</c:v>
                </c:pt>
              </c:numCache>
            </c:numRef>
          </c:cat>
          <c:val>
            <c:numRef>
              <c:f>Sheet1!$C$90:$K$90</c:f>
              <c:numCache>
                <c:formatCode>General</c:formatCode>
                <c:ptCount val="9"/>
                <c:pt idx="5">
                  <c:v>117</c:v>
                </c:pt>
                <c:pt idx="6">
                  <c:v>133</c:v>
                </c:pt>
                <c:pt idx="7">
                  <c:v>104</c:v>
                </c:pt>
                <c:pt idx="8">
                  <c:v>114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gradFill>
      <a:gsLst>
        <a:gs pos="30991">
          <a:srgbClr val="F3FD77"/>
        </a:gs>
        <a:gs pos="22000">
          <a:srgbClr val="FFCC66"/>
        </a:gs>
        <a:gs pos="9735">
          <a:schemeClr val="accent3">
            <a:lumMod val="60000"/>
            <a:lumOff val="40000"/>
          </a:schemeClr>
        </a:gs>
        <a:gs pos="59000">
          <a:srgbClr val="F7FDA5"/>
        </a:gs>
        <a:gs pos="83000">
          <a:schemeClr val="accent1">
            <a:lumMod val="30000"/>
            <a:lumOff val="70000"/>
          </a:schemeClr>
        </a:gs>
      </a:gsLst>
      <a:lin ang="5400000" scaled="1"/>
    </a:gradFill>
    <a:ln w="15875" cap="flat" cmpd="sng" algn="ctr">
      <a:solidFill>
        <a:schemeClr val="tx1">
          <a:lumMod val="65000"/>
          <a:lumOff val="3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solidFill>
                  <a:sysClr val="windowText" lastClr="000000"/>
                </a:solidFill>
              </a:rPr>
              <a:t>Lēmumu</a:t>
            </a:r>
            <a:r>
              <a:rPr lang="lv-LV" b="1" baseline="0">
                <a:solidFill>
                  <a:sysClr val="windowText" lastClr="000000"/>
                </a:solidFill>
              </a:rPr>
              <a:t> skaits par bērna aizgādības tiesību pārtraukšanu vecākiem</a:t>
            </a:r>
            <a:endParaRPr lang="en-GB"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Sheet1!$C$213:$F$213</c:f>
              <c:numCache>
                <c:formatCode>General</c:formatCode>
                <c:ptCount val="4"/>
                <c:pt idx="0">
                  <c:v>2012</c:v>
                </c:pt>
                <c:pt idx="1">
                  <c:v>2013</c:v>
                </c:pt>
                <c:pt idx="2">
                  <c:v>2014</c:v>
                </c:pt>
                <c:pt idx="3">
                  <c:v>2015</c:v>
                </c:pt>
              </c:numCache>
            </c:numRef>
          </c:cat>
          <c:val>
            <c:numRef>
              <c:f>Sheet1!$C$214:$F$214</c:f>
              <c:numCache>
                <c:formatCode>General</c:formatCode>
                <c:ptCount val="4"/>
                <c:pt idx="0">
                  <c:v>682</c:v>
                </c:pt>
                <c:pt idx="1">
                  <c:v>603</c:v>
                </c:pt>
                <c:pt idx="2">
                  <c:v>460</c:v>
                </c:pt>
                <c:pt idx="3">
                  <c:v>381</c:v>
                </c:pt>
              </c:numCache>
            </c:numRef>
          </c:val>
          <c:smooth val="0"/>
        </c:ser>
        <c:dLbls>
          <c:showLegendKey val="0"/>
          <c:showVal val="0"/>
          <c:showCatName val="0"/>
          <c:showSerName val="0"/>
          <c:showPercent val="0"/>
          <c:showBubbleSize val="0"/>
        </c:dLbls>
        <c:smooth val="0"/>
        <c:axId val="504764000"/>
        <c:axId val="504760864"/>
      </c:lineChart>
      <c:catAx>
        <c:axId val="504764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04760864"/>
        <c:crosses val="autoZero"/>
        <c:auto val="1"/>
        <c:lblAlgn val="ctr"/>
        <c:lblOffset val="100"/>
        <c:noMultiLvlLbl val="0"/>
      </c:catAx>
      <c:valAx>
        <c:axId val="504760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4764000"/>
        <c:crosses val="autoZero"/>
        <c:crossBetween val="between"/>
      </c:valAx>
      <c:spPr>
        <a:noFill/>
        <a:ln>
          <a:noFill/>
        </a:ln>
        <a:effectLst/>
      </c:spPr>
    </c:plotArea>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15875" cap="flat" cmpd="sng" algn="ctr">
      <a:solidFill>
        <a:schemeClr val="tx1">
          <a:lumMod val="50000"/>
          <a:lumOff val="50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lv-LV" b="1" i="0" baseline="0">
                <a:solidFill>
                  <a:sysClr val="windowText" lastClr="000000"/>
                </a:solidFill>
              </a:rPr>
              <a:t>Pārtraukto aizgādības tiesību atjaunošana</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263000889194849"/>
          <c:y val="0.14856481481481484"/>
          <c:w val="0.8062209577489029"/>
          <c:h val="0.56695137066200063"/>
        </c:manualLayout>
      </c:layout>
      <c:bar3DChart>
        <c:barDir val="col"/>
        <c:grouping val="clustered"/>
        <c:varyColors val="0"/>
        <c:ser>
          <c:idx val="0"/>
          <c:order val="0"/>
          <c:tx>
            <c:strRef>
              <c:f>Sheet1!$B$217</c:f>
              <c:strCache>
                <c:ptCount val="1"/>
                <c:pt idx="0">
                  <c:v>Personu skaits, kurām atjaunotas pārtrauktās aizgādības tiesības</c:v>
                </c:pt>
              </c:strCache>
            </c:strRef>
          </c:tx>
          <c:spPr>
            <a:solidFill>
              <a:srgbClr val="C13D3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Sheet1!$F$216:$I$216</c:f>
              <c:numCache>
                <c:formatCode>General</c:formatCode>
                <c:ptCount val="4"/>
                <c:pt idx="0">
                  <c:v>2012</c:v>
                </c:pt>
                <c:pt idx="1">
                  <c:v>2013</c:v>
                </c:pt>
                <c:pt idx="2">
                  <c:v>2014</c:v>
                </c:pt>
                <c:pt idx="3">
                  <c:v>2015</c:v>
                </c:pt>
              </c:numCache>
            </c:numRef>
          </c:cat>
          <c:val>
            <c:numRef>
              <c:f>Sheet1!$F$217:$I$217</c:f>
              <c:numCache>
                <c:formatCode>General</c:formatCode>
                <c:ptCount val="4"/>
                <c:pt idx="0">
                  <c:v>649</c:v>
                </c:pt>
                <c:pt idx="1">
                  <c:v>652</c:v>
                </c:pt>
                <c:pt idx="2">
                  <c:v>563</c:v>
                </c:pt>
                <c:pt idx="3">
                  <c:v>476</c:v>
                </c:pt>
              </c:numCache>
            </c:numRef>
          </c:val>
        </c:ser>
        <c:ser>
          <c:idx val="1"/>
          <c:order val="1"/>
          <c:tx>
            <c:strRef>
              <c:f>Sheet1!$B$218</c:f>
              <c:strCache>
                <c:ptCount val="1"/>
                <c:pt idx="0">
                  <c:v>Bērnu skaits, kuru vecākiem atjaunotas pārtrauktās aizgādības tiesības</c:v>
                </c:pt>
              </c:strCache>
            </c:strRef>
          </c:tx>
          <c:spPr>
            <a:solidFill>
              <a:schemeClr val="accent1"/>
            </a:solidFill>
            <a:ln>
              <a:noFill/>
            </a:ln>
            <a:effectLst/>
            <a:sp3d/>
          </c:spPr>
          <c:invertIfNegative val="0"/>
          <c:dPt>
            <c:idx val="0"/>
            <c:invertIfNegative val="0"/>
            <c:bubble3D val="0"/>
            <c:spPr>
              <a:solidFill>
                <a:schemeClr val="accent1"/>
              </a:solidFill>
              <a:ln>
                <a:noFill/>
              </a:ln>
              <a:effectLst/>
              <a:sp3d/>
            </c:spPr>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Sheet1!$F$216:$I$216</c:f>
              <c:numCache>
                <c:formatCode>General</c:formatCode>
                <c:ptCount val="4"/>
                <c:pt idx="0">
                  <c:v>2012</c:v>
                </c:pt>
                <c:pt idx="1">
                  <c:v>2013</c:v>
                </c:pt>
                <c:pt idx="2">
                  <c:v>2014</c:v>
                </c:pt>
                <c:pt idx="3">
                  <c:v>2015</c:v>
                </c:pt>
              </c:numCache>
            </c:numRef>
          </c:cat>
          <c:val>
            <c:numRef>
              <c:f>Sheet1!$F$218:$I$218</c:f>
              <c:numCache>
                <c:formatCode>General</c:formatCode>
                <c:ptCount val="4"/>
                <c:pt idx="0">
                  <c:v>849</c:v>
                </c:pt>
                <c:pt idx="1">
                  <c:v>872</c:v>
                </c:pt>
                <c:pt idx="2">
                  <c:v>755</c:v>
                </c:pt>
                <c:pt idx="3">
                  <c:v>632</c:v>
                </c:pt>
              </c:numCache>
            </c:numRef>
          </c:val>
        </c:ser>
        <c:dLbls>
          <c:showLegendKey val="0"/>
          <c:showVal val="0"/>
          <c:showCatName val="0"/>
          <c:showSerName val="0"/>
          <c:showPercent val="0"/>
          <c:showBubbleSize val="0"/>
        </c:dLbls>
        <c:gapWidth val="150"/>
        <c:shape val="box"/>
        <c:axId val="504761648"/>
        <c:axId val="504762040"/>
        <c:axId val="0"/>
      </c:bar3DChart>
      <c:catAx>
        <c:axId val="5047616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504762040"/>
        <c:crosses val="autoZero"/>
        <c:auto val="1"/>
        <c:lblAlgn val="ctr"/>
        <c:lblOffset val="100"/>
        <c:noMultiLvlLbl val="0"/>
      </c:catAx>
      <c:valAx>
        <c:axId val="504762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4761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gradFill>
      <a:gsLst>
        <a:gs pos="71712">
          <a:schemeClr val="accent4">
            <a:lumMod val="40000"/>
            <a:lumOff val="60000"/>
          </a:schemeClr>
        </a:gs>
        <a:gs pos="0">
          <a:schemeClr val="accent6">
            <a:lumMod val="60000"/>
            <a:lumOff val="40000"/>
          </a:schemeClr>
        </a:gs>
        <a:gs pos="100000">
          <a:schemeClr val="accent1">
            <a:lumMod val="45000"/>
            <a:lumOff val="55000"/>
          </a:schemeClr>
        </a:gs>
        <a:gs pos="83000">
          <a:schemeClr val="accent4">
            <a:lumMod val="40000"/>
            <a:lumOff val="60000"/>
          </a:schemeClr>
        </a:gs>
        <a:gs pos="100000">
          <a:schemeClr val="accent1">
            <a:lumMod val="30000"/>
            <a:lumOff val="70000"/>
          </a:schemeClr>
        </a:gs>
      </a:gsLst>
      <a:lin ang="5400000" scaled="1"/>
    </a:gradFill>
    <a:ln w="222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Sheet1!$B$304:$E$304</c:f>
              <c:strCache>
                <c:ptCount val="4"/>
                <c:pt idx="0">
                  <c:v>Personu skaits, par kurām bāriņtiesa pieņēmusi lēmumu par prasības iesniegšanu tiesā par aizgādības tiesību atņemšanu</c:v>
                </c:pt>
              </c:strCache>
            </c:strRef>
          </c:tx>
          <c:spPr>
            <a:ln w="28575" cap="rnd">
              <a:solidFill>
                <a:srgbClr val="C00000"/>
              </a:solidFill>
              <a:round/>
            </a:ln>
            <a:effectLst/>
          </c:spPr>
          <c:marker>
            <c:symbol val="circle"/>
            <c:size val="5"/>
            <c:spPr>
              <a:solidFill>
                <a:schemeClr val="accent1"/>
              </a:solidFill>
              <a:ln w="9525">
                <a:solidFill>
                  <a:schemeClr val="accent1"/>
                </a:solidFill>
              </a:ln>
              <a:effectLst/>
            </c:spPr>
          </c:marker>
          <c:dLbls>
            <c:dLbl>
              <c:idx val="0"/>
              <c:layout>
                <c:manualLayout>
                  <c:x val="-2.777777777777803E-3"/>
                  <c:y val="-2.314814814814819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7777777777777779E-3"/>
                  <c:y val="-2.7777777777777776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2.314814814814814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Sheet1!$F$303:$I$303</c:f>
              <c:numCache>
                <c:formatCode>General</c:formatCode>
                <c:ptCount val="4"/>
                <c:pt idx="0">
                  <c:v>2012</c:v>
                </c:pt>
                <c:pt idx="1">
                  <c:v>2013</c:v>
                </c:pt>
                <c:pt idx="2">
                  <c:v>2014</c:v>
                </c:pt>
                <c:pt idx="3">
                  <c:v>2015</c:v>
                </c:pt>
              </c:numCache>
            </c:numRef>
          </c:cat>
          <c:val>
            <c:numRef>
              <c:f>Sheet1!$F$304:$I$304</c:f>
              <c:numCache>
                <c:formatCode>General</c:formatCode>
                <c:ptCount val="4"/>
                <c:pt idx="0">
                  <c:v>1072</c:v>
                </c:pt>
                <c:pt idx="1">
                  <c:v>956</c:v>
                </c:pt>
                <c:pt idx="2">
                  <c:v>954</c:v>
                </c:pt>
                <c:pt idx="3">
                  <c:v>861</c:v>
                </c:pt>
              </c:numCache>
            </c:numRef>
          </c:val>
          <c:smooth val="0"/>
        </c:ser>
        <c:dLbls>
          <c:showLegendKey val="0"/>
          <c:showVal val="0"/>
          <c:showCatName val="0"/>
          <c:showSerName val="0"/>
          <c:showPercent val="0"/>
          <c:showBubbleSize val="0"/>
        </c:dLbls>
        <c:marker val="1"/>
        <c:smooth val="0"/>
        <c:axId val="504756944"/>
        <c:axId val="504757336"/>
      </c:lineChart>
      <c:catAx>
        <c:axId val="504756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04757336"/>
        <c:crosses val="autoZero"/>
        <c:auto val="1"/>
        <c:lblAlgn val="ctr"/>
        <c:lblOffset val="100"/>
        <c:noMultiLvlLbl val="0"/>
      </c:catAx>
      <c:valAx>
        <c:axId val="504757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4756944"/>
        <c:crosses val="autoZero"/>
        <c:crossBetween val="between"/>
      </c:valAx>
      <c:spPr>
        <a:noFill/>
        <a:ln>
          <a:noFill/>
        </a:ln>
        <a:effectLst/>
      </c:spPr>
    </c:plotArea>
    <c:plotVisOnly val="1"/>
    <c:dispBlanksAs val="gap"/>
    <c:showDLblsOverMax val="0"/>
  </c:chart>
  <c:spPr>
    <a:gradFill>
      <a:gsLst>
        <a:gs pos="0">
          <a:schemeClr val="accent4">
            <a:lumMod val="40000"/>
            <a:lumOff val="60000"/>
          </a:schemeClr>
        </a:gs>
        <a:gs pos="91143">
          <a:schemeClr val="accent4">
            <a:lumMod val="40000"/>
            <a:lumOff val="60000"/>
          </a:schemeClr>
        </a:gs>
        <a:gs pos="74000">
          <a:schemeClr val="accent4">
            <a:lumMod val="60000"/>
            <a:lumOff val="40000"/>
          </a:schemeClr>
        </a:gs>
        <a:gs pos="83000">
          <a:schemeClr val="accent4">
            <a:lumMod val="60000"/>
            <a:lumOff val="40000"/>
          </a:schemeClr>
        </a:gs>
        <a:gs pos="100000">
          <a:srgbClr val="F3FD77"/>
        </a:gs>
      </a:gsLst>
      <a:lin ang="5400000" scaled="1"/>
    </a:gradFill>
    <a:ln w="15875" cap="flat" cmpd="sng" algn="ctr">
      <a:solidFill>
        <a:schemeClr val="bg1">
          <a:lumMod val="6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lv-LV" b="1" i="0" baseline="0">
                <a:solidFill>
                  <a:sysClr val="windowText" lastClr="000000"/>
                </a:solidFill>
              </a:rPr>
              <a:t>Aizgādības tiesību atņemšana</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Sheet1!$B$320:$C$320</c:f>
              <c:strCache>
                <c:ptCount val="2"/>
                <c:pt idx="0">
                  <c:v>Personu skaits, kurām ar tiesas spriedumu atņemtas aizgādības tiesības </c:v>
                </c:pt>
              </c:strCache>
            </c:strRef>
          </c:tx>
          <c:spPr>
            <a:solidFill>
              <a:srgbClr val="339966"/>
            </a:solidFill>
            <a:ln>
              <a:noFill/>
            </a:ln>
            <a:effectLst/>
            <a:sp3d/>
          </c:spPr>
          <c:invertIfNegative val="0"/>
          <c:dLbls>
            <c:dLbl>
              <c:idx val="0"/>
              <c:layout>
                <c:manualLayout>
                  <c:x val="1.6856300042140751E-3"/>
                  <c:y val="-2.580644287310375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2.580644287310375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1.720429524873583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Sheet1!$G$319:$J$319</c:f>
              <c:numCache>
                <c:formatCode>General</c:formatCode>
                <c:ptCount val="4"/>
                <c:pt idx="0">
                  <c:v>2012</c:v>
                </c:pt>
                <c:pt idx="1">
                  <c:v>2013</c:v>
                </c:pt>
                <c:pt idx="2">
                  <c:v>2014</c:v>
                </c:pt>
                <c:pt idx="3">
                  <c:v>2015</c:v>
                </c:pt>
              </c:numCache>
            </c:numRef>
          </c:cat>
          <c:val>
            <c:numRef>
              <c:f>Sheet1!$G$320:$J$320</c:f>
              <c:numCache>
                <c:formatCode>General</c:formatCode>
                <c:ptCount val="4"/>
                <c:pt idx="0">
                  <c:v>814</c:v>
                </c:pt>
                <c:pt idx="1">
                  <c:v>739</c:v>
                </c:pt>
                <c:pt idx="2">
                  <c:v>674</c:v>
                </c:pt>
                <c:pt idx="3">
                  <c:v>640</c:v>
                </c:pt>
              </c:numCache>
            </c:numRef>
          </c:val>
          <c:shape val="cylinder"/>
        </c:ser>
        <c:ser>
          <c:idx val="1"/>
          <c:order val="1"/>
          <c:tx>
            <c:strRef>
              <c:f>Sheet1!$B$321:$C$321</c:f>
              <c:strCache>
                <c:ptCount val="2"/>
                <c:pt idx="0">
                  <c:v>Bērnu skaits, kuru vecākiem ar tiesas spriedumu atņemtas aizgādības tiesības</c:v>
                </c:pt>
              </c:strCache>
            </c:strRef>
          </c:tx>
          <c:spPr>
            <a:solidFill>
              <a:schemeClr val="bg2">
                <a:lumMod val="75000"/>
              </a:schemeClr>
            </a:solidFill>
            <a:ln>
              <a:noFill/>
            </a:ln>
            <a:effectLst/>
            <a:sp3d/>
          </c:spPr>
          <c:invertIfNegative val="0"/>
          <c:dLbls>
            <c:dLbl>
              <c:idx val="0"/>
              <c:layout>
                <c:manualLayout>
                  <c:x val="8.428150021070344E-3"/>
                  <c:y val="-3.01075166852877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5.0568900126422255E-3"/>
                  <c:y val="-3.8709664309655681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1805719502903633E-17"/>
                  <c:y val="-3.870966430965568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Sheet1!$G$319:$J$319</c:f>
              <c:numCache>
                <c:formatCode>General</c:formatCode>
                <c:ptCount val="4"/>
                <c:pt idx="0">
                  <c:v>2012</c:v>
                </c:pt>
                <c:pt idx="1">
                  <c:v>2013</c:v>
                </c:pt>
                <c:pt idx="2">
                  <c:v>2014</c:v>
                </c:pt>
                <c:pt idx="3">
                  <c:v>2015</c:v>
                </c:pt>
              </c:numCache>
            </c:numRef>
          </c:cat>
          <c:val>
            <c:numRef>
              <c:f>Sheet1!$G$321:$J$321</c:f>
              <c:numCache>
                <c:formatCode>General</c:formatCode>
                <c:ptCount val="4"/>
                <c:pt idx="0">
                  <c:v>1078</c:v>
                </c:pt>
                <c:pt idx="1">
                  <c:v>952</c:v>
                </c:pt>
                <c:pt idx="2">
                  <c:v>874</c:v>
                </c:pt>
                <c:pt idx="3">
                  <c:v>828</c:v>
                </c:pt>
              </c:numCache>
            </c:numRef>
          </c:val>
          <c:shape val="cylinder"/>
        </c:ser>
        <c:dLbls>
          <c:showLegendKey val="0"/>
          <c:showVal val="0"/>
          <c:showCatName val="0"/>
          <c:showSerName val="0"/>
          <c:showPercent val="0"/>
          <c:showBubbleSize val="0"/>
        </c:dLbls>
        <c:gapWidth val="150"/>
        <c:shape val="box"/>
        <c:axId val="498698776"/>
        <c:axId val="498699168"/>
        <c:axId val="387064016"/>
      </c:bar3DChart>
      <c:catAx>
        <c:axId val="4986987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498699168"/>
        <c:crosses val="autoZero"/>
        <c:auto val="1"/>
        <c:lblAlgn val="ctr"/>
        <c:lblOffset val="100"/>
        <c:noMultiLvlLbl val="0"/>
      </c:catAx>
      <c:valAx>
        <c:axId val="498699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8698776"/>
        <c:crosses val="autoZero"/>
        <c:crossBetween val="between"/>
      </c:valAx>
      <c:serAx>
        <c:axId val="387064016"/>
        <c:scaling>
          <c:orientation val="minMax"/>
        </c:scaling>
        <c:delete val="1"/>
        <c:axPos val="b"/>
        <c:majorTickMark val="none"/>
        <c:minorTickMark val="none"/>
        <c:tickLblPos val="nextTo"/>
        <c:crossAx val="498699168"/>
        <c:crosses val="autoZero"/>
      </c:ser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gradFill>
      <a:gsLst>
        <a:gs pos="45153">
          <a:srgbClr val="EDFA44"/>
        </a:gs>
        <a:gs pos="80000">
          <a:schemeClr val="accent3">
            <a:lumMod val="40000"/>
            <a:lumOff val="60000"/>
          </a:schemeClr>
        </a:gs>
        <a:gs pos="15000">
          <a:schemeClr val="accent6">
            <a:lumMod val="60000"/>
            <a:lumOff val="40000"/>
          </a:schemeClr>
        </a:gs>
        <a:gs pos="100000">
          <a:schemeClr val="accent1">
            <a:lumMod val="30000"/>
            <a:lumOff val="70000"/>
          </a:schemeClr>
        </a:gs>
      </a:gsLst>
      <a:lin ang="5400000" scaled="1"/>
    </a:gradFill>
    <a:ln w="15875" cap="flat" cmpd="sng" algn="ctr">
      <a:solidFill>
        <a:schemeClr val="tx1">
          <a:lumMod val="65000"/>
          <a:lumOff val="3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lv-LV" b="1" i="0" baseline="0">
                <a:solidFill>
                  <a:sysClr val="windowText" lastClr="000000"/>
                </a:solidFill>
              </a:rPr>
              <a:t>Aizgādības tiesību atjaunošana</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barChart>
        <c:barDir val="bar"/>
        <c:grouping val="stacked"/>
        <c:varyColors val="0"/>
        <c:ser>
          <c:idx val="4"/>
          <c:order val="4"/>
          <c:tx>
            <c:strRef>
              <c:f>Sheet1!$G$328</c:f>
              <c:strCache>
                <c:ptCount val="1"/>
                <c:pt idx="0">
                  <c:v>2012</c:v>
                </c:pt>
              </c:strCache>
            </c:strRef>
          </c:tx>
          <c:spPr>
            <a:solidFill>
              <a:srgbClr val="661C1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Sheet1!$B$329:$B$331</c:f>
              <c:strCache>
                <c:ptCount val="3"/>
                <c:pt idx="0">
                  <c:v>Personu skaits, par kurām bāriņtiesa pieņēmusi lēmumu par prasības iesniegšanu tiesā par aizgādības tiesību atjaunošanu</c:v>
                </c:pt>
                <c:pt idx="1">
                  <c:v>Personu skaits, kurām ar tiesas spriedumu atjaunotas aizgādības tiesības</c:v>
                </c:pt>
                <c:pt idx="2">
                  <c:v>Bērnu skaits, kuru vecākiem ar tiesas spriedumu atjaunotas aizgādības tiesības</c:v>
                </c:pt>
              </c:strCache>
            </c:strRef>
          </c:cat>
          <c:val>
            <c:numRef>
              <c:f>Sheet1!$G$329:$G$331</c:f>
              <c:numCache>
                <c:formatCode>General</c:formatCode>
                <c:ptCount val="3"/>
                <c:pt idx="0">
                  <c:v>9</c:v>
                </c:pt>
                <c:pt idx="1">
                  <c:v>5</c:v>
                </c:pt>
                <c:pt idx="2">
                  <c:v>8</c:v>
                </c:pt>
              </c:numCache>
            </c:numRef>
          </c:val>
        </c:ser>
        <c:ser>
          <c:idx val="5"/>
          <c:order val="5"/>
          <c:tx>
            <c:strRef>
              <c:f>Sheet1!$H$328</c:f>
              <c:strCache>
                <c:ptCount val="1"/>
                <c:pt idx="0">
                  <c:v>2013</c:v>
                </c:pt>
              </c:strCache>
            </c:strRef>
          </c:tx>
          <c:spPr>
            <a:solidFill>
              <a:srgbClr val="00B050"/>
            </a:solidFill>
            <a:ln>
              <a:solidFill>
                <a:srgbClr val="00CC99"/>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Sheet1!$B$329:$B$331</c:f>
              <c:strCache>
                <c:ptCount val="3"/>
                <c:pt idx="0">
                  <c:v>Personu skaits, par kurām bāriņtiesa pieņēmusi lēmumu par prasības iesniegšanu tiesā par aizgādības tiesību atjaunošanu</c:v>
                </c:pt>
                <c:pt idx="1">
                  <c:v>Personu skaits, kurām ar tiesas spriedumu atjaunotas aizgādības tiesības</c:v>
                </c:pt>
                <c:pt idx="2">
                  <c:v>Bērnu skaits, kuru vecākiem ar tiesas spriedumu atjaunotas aizgādības tiesības</c:v>
                </c:pt>
              </c:strCache>
            </c:strRef>
          </c:cat>
          <c:val>
            <c:numRef>
              <c:f>Sheet1!$H$329:$H$331</c:f>
              <c:numCache>
                <c:formatCode>General</c:formatCode>
                <c:ptCount val="3"/>
                <c:pt idx="0">
                  <c:v>9</c:v>
                </c:pt>
                <c:pt idx="1">
                  <c:v>14</c:v>
                </c:pt>
                <c:pt idx="2">
                  <c:v>23</c:v>
                </c:pt>
              </c:numCache>
            </c:numRef>
          </c:val>
        </c:ser>
        <c:ser>
          <c:idx val="6"/>
          <c:order val="6"/>
          <c:tx>
            <c:strRef>
              <c:f>Sheet1!$I$328</c:f>
              <c:strCache>
                <c:ptCount val="1"/>
                <c:pt idx="0">
                  <c:v>2014</c:v>
                </c:pt>
              </c:strCache>
            </c:strRef>
          </c:tx>
          <c:spPr>
            <a:solidFill>
              <a:srgbClr val="FF66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Sheet1!$B$329:$B$331</c:f>
              <c:strCache>
                <c:ptCount val="3"/>
                <c:pt idx="0">
                  <c:v>Personu skaits, par kurām bāriņtiesa pieņēmusi lēmumu par prasības iesniegšanu tiesā par aizgādības tiesību atjaunošanu</c:v>
                </c:pt>
                <c:pt idx="1">
                  <c:v>Personu skaits, kurām ar tiesas spriedumu atjaunotas aizgādības tiesības</c:v>
                </c:pt>
                <c:pt idx="2">
                  <c:v>Bērnu skaits, kuru vecākiem ar tiesas spriedumu atjaunotas aizgādības tiesības</c:v>
                </c:pt>
              </c:strCache>
            </c:strRef>
          </c:cat>
          <c:val>
            <c:numRef>
              <c:f>Sheet1!$I$329:$I$331</c:f>
              <c:numCache>
                <c:formatCode>General</c:formatCode>
                <c:ptCount val="3"/>
                <c:pt idx="0">
                  <c:v>11</c:v>
                </c:pt>
                <c:pt idx="1">
                  <c:v>9</c:v>
                </c:pt>
                <c:pt idx="2">
                  <c:v>13</c:v>
                </c:pt>
              </c:numCache>
            </c:numRef>
          </c:val>
        </c:ser>
        <c:ser>
          <c:idx val="7"/>
          <c:order val="7"/>
          <c:tx>
            <c:strRef>
              <c:f>Sheet1!$J$328</c:f>
              <c:strCache>
                <c:ptCount val="1"/>
                <c:pt idx="0">
                  <c:v>2015</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Sheet1!$B$329:$B$331</c:f>
              <c:strCache>
                <c:ptCount val="3"/>
                <c:pt idx="0">
                  <c:v>Personu skaits, par kurām bāriņtiesa pieņēmusi lēmumu par prasības iesniegšanu tiesā par aizgādības tiesību atjaunošanu</c:v>
                </c:pt>
                <c:pt idx="1">
                  <c:v>Personu skaits, kurām ar tiesas spriedumu atjaunotas aizgādības tiesības</c:v>
                </c:pt>
                <c:pt idx="2">
                  <c:v>Bērnu skaits, kuru vecākiem ar tiesas spriedumu atjaunotas aizgādības tiesības</c:v>
                </c:pt>
              </c:strCache>
            </c:strRef>
          </c:cat>
          <c:val>
            <c:numRef>
              <c:f>Sheet1!$J$329:$J$331</c:f>
              <c:numCache>
                <c:formatCode>General</c:formatCode>
                <c:ptCount val="3"/>
                <c:pt idx="0">
                  <c:v>8</c:v>
                </c:pt>
                <c:pt idx="1">
                  <c:v>11</c:v>
                </c:pt>
                <c:pt idx="2">
                  <c:v>16</c:v>
                </c:pt>
              </c:numCache>
            </c:numRef>
          </c:val>
        </c:ser>
        <c:dLbls>
          <c:showLegendKey val="0"/>
          <c:showVal val="0"/>
          <c:showCatName val="0"/>
          <c:showSerName val="0"/>
          <c:showPercent val="0"/>
          <c:showBubbleSize val="0"/>
        </c:dLbls>
        <c:gapWidth val="150"/>
        <c:overlap val="100"/>
        <c:axId val="498700344"/>
        <c:axId val="498701520"/>
        <c:extLst>
          <c:ext xmlns:c15="http://schemas.microsoft.com/office/drawing/2012/chart" uri="{02D57815-91ED-43cb-92C2-25804820EDAC}">
            <c15:filteredBarSeries>
              <c15:ser>
                <c:idx val="0"/>
                <c:order val="0"/>
                <c:tx>
                  <c:strRef>
                    <c:extLst>
                      <c:ext uri="{02D57815-91ED-43cb-92C2-25804820EDAC}">
                        <c15:formulaRef>
                          <c15:sqref>Sheet1!$C$328</c15:sqref>
                        </c15:formulaRef>
                      </c:ext>
                    </c:extLst>
                    <c:strCache>
                      <c:ptCount val="1"/>
                    </c:strCache>
                  </c:strRef>
                </c:tx>
                <c:spPr>
                  <a:solidFill>
                    <a:srgbClr val="66FF9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Sheet1!$B$329:$B$331</c15:sqref>
                        </c15:formulaRef>
                      </c:ext>
                    </c:extLst>
                    <c:strCache>
                      <c:ptCount val="3"/>
                      <c:pt idx="0">
                        <c:v>Personu skaits, par kurām bāriņtiesa pieņēmusi lēmumu par prasības iesniegšanu tiesā par aizgādības tiesību atjaunošanu</c:v>
                      </c:pt>
                      <c:pt idx="1">
                        <c:v>Personu skaits, kurām ar tiesas spriedumu atjaunotas aizgādības tiesības</c:v>
                      </c:pt>
                      <c:pt idx="2">
                        <c:v>Bērnu skaits, kuru vecākiem ar tiesas spriedumu atjaunotas aizgādības tiesības</c:v>
                      </c:pt>
                    </c:strCache>
                  </c:strRef>
                </c:cat>
                <c:val>
                  <c:numRef>
                    <c:extLst>
                      <c:ext uri="{02D57815-91ED-43cb-92C2-25804820EDAC}">
                        <c15:formulaRef>
                          <c15:sqref>Sheet1!$C$329:$C$331</c15:sqref>
                        </c15:formulaRef>
                      </c:ext>
                    </c:extLst>
                    <c:numCache>
                      <c:formatCode>General</c:formatCode>
                      <c:ptCount val="3"/>
                    </c:numCache>
                  </c:numRef>
                </c:val>
              </c15:ser>
            </c15:filteredBarSeries>
            <c15:filteredBarSeries>
              <c15:ser>
                <c:idx val="1"/>
                <c:order val="1"/>
                <c:tx>
                  <c:strRef>
                    <c:extLst xmlns:c15="http://schemas.microsoft.com/office/drawing/2012/chart">
                      <c:ext xmlns:c15="http://schemas.microsoft.com/office/drawing/2012/chart" uri="{02D57815-91ED-43cb-92C2-25804820EDAC}">
                        <c15:formulaRef>
                          <c15:sqref>Sheet1!$D$328</c15:sqref>
                        </c15:formulaRef>
                      </c:ext>
                    </c:extLst>
                    <c:strCache>
                      <c:ptCount val="1"/>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Sheet1!$B$329:$B$331</c15:sqref>
                        </c15:formulaRef>
                      </c:ext>
                    </c:extLst>
                    <c:strCache>
                      <c:ptCount val="3"/>
                      <c:pt idx="0">
                        <c:v>Personu skaits, par kurām bāriņtiesa pieņēmusi lēmumu par prasības iesniegšanu tiesā par aizgādības tiesību atjaunošanu</c:v>
                      </c:pt>
                      <c:pt idx="1">
                        <c:v>Personu skaits, kurām ar tiesas spriedumu atjaunotas aizgādības tiesības</c:v>
                      </c:pt>
                      <c:pt idx="2">
                        <c:v>Bērnu skaits, kuru vecākiem ar tiesas spriedumu atjaunotas aizgādības tiesības</c:v>
                      </c:pt>
                    </c:strCache>
                  </c:strRef>
                </c:cat>
                <c:val>
                  <c:numRef>
                    <c:extLst xmlns:c15="http://schemas.microsoft.com/office/drawing/2012/chart">
                      <c:ext xmlns:c15="http://schemas.microsoft.com/office/drawing/2012/chart" uri="{02D57815-91ED-43cb-92C2-25804820EDAC}">
                        <c15:formulaRef>
                          <c15:sqref>Sheet1!$D$329:$D$331</c15:sqref>
                        </c15:formulaRef>
                      </c:ext>
                    </c:extLst>
                    <c:numCache>
                      <c:formatCode>General</c:formatCode>
                      <c:ptCount val="3"/>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Sheet1!$E$328</c15:sqref>
                        </c15:formulaRef>
                      </c:ext>
                    </c:extLst>
                    <c:strCache>
                      <c:ptCount val="1"/>
                    </c:strCache>
                  </c:strRef>
                </c:tx>
                <c:spPr>
                  <a:solidFill>
                    <a:srgbClr val="C22E6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Sheet1!$B$329:$B$331</c15:sqref>
                        </c15:formulaRef>
                      </c:ext>
                    </c:extLst>
                    <c:strCache>
                      <c:ptCount val="3"/>
                      <c:pt idx="0">
                        <c:v>Personu skaits, par kurām bāriņtiesa pieņēmusi lēmumu par prasības iesniegšanu tiesā par aizgādības tiesību atjaunošanu</c:v>
                      </c:pt>
                      <c:pt idx="1">
                        <c:v>Personu skaits, kurām ar tiesas spriedumu atjaunotas aizgādības tiesības</c:v>
                      </c:pt>
                      <c:pt idx="2">
                        <c:v>Bērnu skaits, kuru vecākiem ar tiesas spriedumu atjaunotas aizgādības tiesības</c:v>
                      </c:pt>
                    </c:strCache>
                  </c:strRef>
                </c:cat>
                <c:val>
                  <c:numRef>
                    <c:extLst xmlns:c15="http://schemas.microsoft.com/office/drawing/2012/chart">
                      <c:ext xmlns:c15="http://schemas.microsoft.com/office/drawing/2012/chart" uri="{02D57815-91ED-43cb-92C2-25804820EDAC}">
                        <c15:formulaRef>
                          <c15:sqref>Sheet1!$E$329:$E$331</c15:sqref>
                        </c15:formulaRef>
                      </c:ext>
                    </c:extLst>
                    <c:numCache>
                      <c:formatCode>General</c:formatCode>
                      <c:ptCount val="3"/>
                    </c:numCache>
                  </c:numRef>
                </c:val>
              </c15:ser>
            </c15:filteredBarSeries>
            <c15:filteredBarSeries>
              <c15:ser>
                <c:idx val="3"/>
                <c:order val="3"/>
                <c:tx>
                  <c:strRef>
                    <c:extLst xmlns:c15="http://schemas.microsoft.com/office/drawing/2012/chart">
                      <c:ext xmlns:c15="http://schemas.microsoft.com/office/drawing/2012/chart" uri="{02D57815-91ED-43cb-92C2-25804820EDAC}">
                        <c15:formulaRef>
                          <c15:sqref>Sheet1!$F$328</c15:sqref>
                        </c15:formulaRef>
                      </c:ext>
                    </c:extLst>
                    <c:strCache>
                      <c:ptCount val="1"/>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Sheet1!$B$329:$B$331</c15:sqref>
                        </c15:formulaRef>
                      </c:ext>
                    </c:extLst>
                    <c:strCache>
                      <c:ptCount val="3"/>
                      <c:pt idx="0">
                        <c:v>Personu skaits, par kurām bāriņtiesa pieņēmusi lēmumu par prasības iesniegšanu tiesā par aizgādības tiesību atjaunošanu</c:v>
                      </c:pt>
                      <c:pt idx="1">
                        <c:v>Personu skaits, kurām ar tiesas spriedumu atjaunotas aizgādības tiesības</c:v>
                      </c:pt>
                      <c:pt idx="2">
                        <c:v>Bērnu skaits, kuru vecākiem ar tiesas spriedumu atjaunotas aizgādības tiesības</c:v>
                      </c:pt>
                    </c:strCache>
                  </c:strRef>
                </c:cat>
                <c:val>
                  <c:numRef>
                    <c:extLst xmlns:c15="http://schemas.microsoft.com/office/drawing/2012/chart">
                      <c:ext xmlns:c15="http://schemas.microsoft.com/office/drawing/2012/chart" uri="{02D57815-91ED-43cb-92C2-25804820EDAC}">
                        <c15:formulaRef>
                          <c15:sqref>Sheet1!$F$329:$F$331</c15:sqref>
                        </c15:formulaRef>
                      </c:ext>
                    </c:extLst>
                    <c:numCache>
                      <c:formatCode>General</c:formatCode>
                      <c:ptCount val="3"/>
                    </c:numCache>
                  </c:numRef>
                </c:val>
              </c15:ser>
            </c15:filteredBarSeries>
          </c:ext>
        </c:extLst>
      </c:barChart>
      <c:catAx>
        <c:axId val="4987003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98701520"/>
        <c:crosses val="autoZero"/>
        <c:auto val="1"/>
        <c:lblAlgn val="ctr"/>
        <c:lblOffset val="100"/>
        <c:noMultiLvlLbl val="0"/>
      </c:catAx>
      <c:valAx>
        <c:axId val="4987015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8700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accent4">
        <a:lumMod val="40000"/>
        <a:lumOff val="60000"/>
      </a:schemeClr>
    </a:solidFill>
    <a:ln w="22225" cap="flat" cmpd="sng" algn="ctr">
      <a:solidFill>
        <a:schemeClr val="bg1">
          <a:lumMod val="6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D3195-7AEA-442D-8BE1-62A66F0D5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3035</TotalTime>
  <Pages>63</Pages>
  <Words>22217</Words>
  <Characters>126643</Characters>
  <Application>Microsoft Office Word</Application>
  <DocSecurity>0</DocSecurity>
  <Lines>1055</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Sīpola</dc:creator>
  <cp:keywords/>
  <dc:description/>
  <cp:lastModifiedBy>Nauris</cp:lastModifiedBy>
  <cp:revision>249</cp:revision>
  <cp:lastPrinted>2016-07-01T09:27:00Z</cp:lastPrinted>
  <dcterms:created xsi:type="dcterms:W3CDTF">2016-06-02T10:51:00Z</dcterms:created>
  <dcterms:modified xsi:type="dcterms:W3CDTF">2016-07-05T12:58:00Z</dcterms:modified>
</cp:coreProperties>
</file>